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05" w:rsidRPr="000C0405" w:rsidRDefault="002314AC" w:rsidP="000C0405">
      <w:pPr>
        <w:tabs>
          <w:tab w:val="left" w:pos="8010"/>
        </w:tabs>
        <w:ind w:left="3960" w:right="306"/>
        <w:jc w:val="center"/>
        <w:rPr>
          <w:rFonts w:ascii="Tahoma" w:hAnsi="Tahoma"/>
          <w:b/>
          <w:sz w:val="20"/>
        </w:rPr>
      </w:pPr>
      <w:r>
        <w:rPr>
          <w:rFonts w:ascii="Tahoma" w:hAnsi="Tahoma"/>
          <w:b/>
          <w:sz w:val="20"/>
        </w:rPr>
        <w:t>201</w:t>
      </w:r>
      <w:r w:rsidR="006A64CD">
        <w:rPr>
          <w:rFonts w:ascii="Tahoma" w:hAnsi="Tahoma"/>
          <w:b/>
          <w:sz w:val="20"/>
        </w:rPr>
        <w:t>7</w:t>
      </w:r>
      <w:r w:rsidR="00631AD3">
        <w:rPr>
          <w:rFonts w:ascii="Tahoma" w:hAnsi="Tahoma"/>
          <w:b/>
          <w:sz w:val="20"/>
        </w:rPr>
        <w:t xml:space="preserve"> </w:t>
      </w:r>
      <w:r w:rsidR="009E1992">
        <w:rPr>
          <w:rFonts w:ascii="Tahoma" w:hAnsi="Tahoma"/>
          <w:b/>
          <w:sz w:val="20"/>
        </w:rPr>
        <w:t xml:space="preserve">HEALTH </w:t>
      </w:r>
      <w:bookmarkStart w:id="0" w:name="_GoBack"/>
      <w:bookmarkEnd w:id="0"/>
      <w:r w:rsidR="00631AD3">
        <w:rPr>
          <w:rFonts w:ascii="Tahoma" w:hAnsi="Tahoma"/>
          <w:b/>
          <w:sz w:val="20"/>
        </w:rPr>
        <w:t xml:space="preserve">POLICY ADVOCACY AGENDA </w:t>
      </w:r>
    </w:p>
    <w:p w:rsidR="000C0405" w:rsidRDefault="000C0405" w:rsidP="00DA2461">
      <w:pPr>
        <w:tabs>
          <w:tab w:val="left" w:pos="8010"/>
        </w:tabs>
        <w:ind w:left="3960" w:right="306"/>
        <w:rPr>
          <w:rFonts w:ascii="Tahoma" w:hAnsi="Tahoma"/>
          <w:sz w:val="20"/>
        </w:rPr>
      </w:pPr>
    </w:p>
    <w:p w:rsidR="00B02449" w:rsidRDefault="00631AD3" w:rsidP="00631AD3">
      <w:pPr>
        <w:tabs>
          <w:tab w:val="left" w:pos="8010"/>
        </w:tabs>
        <w:ind w:left="3960" w:right="306"/>
        <w:rPr>
          <w:rFonts w:ascii="Tahoma" w:hAnsi="Tahoma" w:cs="Tahoma"/>
          <w:sz w:val="20"/>
          <w:shd w:val="clear" w:color="auto" w:fill="FFFFFF"/>
        </w:rPr>
      </w:pPr>
      <w:r w:rsidRPr="00CE476D">
        <w:rPr>
          <w:rFonts w:ascii="Tahoma" w:hAnsi="Tahoma"/>
          <w:sz w:val="20"/>
        </w:rPr>
        <w:t>New Yorkers for Accessible Health Coverage (NYFAHC) is a statewide coalition of 53 voluntary health organizations and allied groups who serve and represent people with chronic illnesses and disabilities, including cancer, HIV/AIDS, cognitive impairments, multiple sclerosis and epilepsy. Because the conditions affecting the individuals and families we represent do not discriminate between rich and poor, we advocate for accessible, affordable, comprehensive and accountable health insurance for the privately insured, as well as those in need of access to public insurance programs.</w:t>
      </w:r>
      <w:r>
        <w:rPr>
          <w:rFonts w:ascii="Tahoma" w:hAnsi="Tahoma"/>
          <w:sz w:val="20"/>
        </w:rPr>
        <w:t xml:space="preserve">  </w:t>
      </w:r>
      <w:r w:rsidR="00B02449">
        <w:rPr>
          <w:rFonts w:ascii="Tahoma" w:hAnsi="Tahoma" w:cs="Tahoma"/>
          <w:sz w:val="20"/>
          <w:shd w:val="clear" w:color="auto" w:fill="FFFFFF"/>
        </w:rPr>
        <w:t xml:space="preserve"> </w:t>
      </w:r>
    </w:p>
    <w:p w:rsidR="00B02449" w:rsidRDefault="00B02449" w:rsidP="002B05F1">
      <w:pPr>
        <w:tabs>
          <w:tab w:val="left" w:pos="8010"/>
        </w:tabs>
        <w:ind w:left="3960"/>
        <w:rPr>
          <w:rFonts w:ascii="Tahoma" w:hAnsi="Tahoma" w:cs="Tahoma"/>
          <w:b/>
          <w:sz w:val="20"/>
        </w:rPr>
      </w:pPr>
    </w:p>
    <w:p w:rsidR="002B05F1" w:rsidRDefault="006A64CD" w:rsidP="002B05F1">
      <w:pPr>
        <w:tabs>
          <w:tab w:val="left" w:pos="8010"/>
        </w:tabs>
        <w:ind w:left="3960"/>
        <w:rPr>
          <w:rFonts w:ascii="Tahoma" w:hAnsi="Tahoma" w:cs="Tahoma"/>
          <w:b/>
          <w:sz w:val="20"/>
        </w:rPr>
      </w:pPr>
      <w:r>
        <w:rPr>
          <w:rFonts w:ascii="Tahoma" w:hAnsi="Tahoma"/>
          <w:sz w:val="20"/>
        </w:rPr>
        <mc:AlternateContent>
          <mc:Choice Requires="wps">
            <w:drawing>
              <wp:anchor distT="0" distB="0" distL="114300" distR="114300" simplePos="0" relativeHeight="251657728" behindDoc="1" locked="0" layoutInCell="1" allowOverlap="1">
                <wp:simplePos x="0" y="0"/>
                <wp:positionH relativeFrom="column">
                  <wp:posOffset>2323465</wp:posOffset>
                </wp:positionH>
                <wp:positionV relativeFrom="paragraph">
                  <wp:posOffset>10160</wp:posOffset>
                </wp:positionV>
                <wp:extent cx="0" cy="7799705"/>
                <wp:effectExtent l="6985" t="7620" r="1206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97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24D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5pt,.8pt" to="182.95pt,6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">
                <v:stroke dashstyle="1 1"/>
              </v:line>
            </w:pict>
          </mc:Fallback>
        </mc:AlternateContent>
      </w:r>
      <w:r w:rsidR="00631AD3">
        <w:rPr>
          <w:rFonts w:ascii="Tahoma" w:hAnsi="Tahoma" w:cs="Tahoma"/>
          <w:b/>
          <w:sz w:val="20"/>
        </w:rPr>
        <w:t xml:space="preserve">QUALITY </w:t>
      </w:r>
      <w:r w:rsidR="002B05F1" w:rsidRPr="00BF07DF">
        <w:rPr>
          <w:rFonts w:ascii="Tahoma" w:hAnsi="Tahoma" w:cs="Tahoma"/>
          <w:b/>
          <w:sz w:val="20"/>
        </w:rPr>
        <w:t xml:space="preserve">OF COVERAGE </w:t>
      </w:r>
    </w:p>
    <w:p w:rsidR="002B05F1" w:rsidRDefault="002B05F1" w:rsidP="002B05F1">
      <w:pPr>
        <w:tabs>
          <w:tab w:val="left" w:pos="8010"/>
        </w:tabs>
        <w:ind w:left="3960"/>
        <w:rPr>
          <w:rFonts w:ascii="Tahoma" w:hAnsi="Tahoma" w:cs="Tahoma"/>
          <w:b/>
          <w:sz w:val="20"/>
        </w:rPr>
      </w:pPr>
    </w:p>
    <w:p w:rsidR="007901B8" w:rsidRDefault="007901B8" w:rsidP="007901B8">
      <w:pPr>
        <w:tabs>
          <w:tab w:val="left" w:pos="8010"/>
        </w:tabs>
        <w:ind w:left="3960"/>
        <w:rPr>
          <w:rFonts w:ascii="Tahoma" w:hAnsi="Tahoma" w:cs="Tahoma"/>
          <w:sz w:val="20"/>
        </w:rPr>
      </w:pPr>
      <w:r>
        <w:rPr>
          <w:rFonts w:ascii="Tahoma" w:hAnsi="Tahoma" w:cs="Tahoma"/>
          <w:b/>
          <w:sz w:val="20"/>
        </w:rPr>
        <w:t xml:space="preserve">Improving </w:t>
      </w:r>
      <w:r w:rsidR="00631AD3">
        <w:rPr>
          <w:rFonts w:ascii="Tahoma" w:hAnsi="Tahoma" w:cs="Tahoma"/>
          <w:b/>
          <w:sz w:val="20"/>
        </w:rPr>
        <w:t>Network Adequacy</w:t>
      </w:r>
      <w:r w:rsidR="00A42E0E">
        <w:rPr>
          <w:rFonts w:ascii="Tahoma" w:hAnsi="Tahoma" w:cs="Tahoma"/>
          <w:b/>
          <w:sz w:val="20"/>
        </w:rPr>
        <w:t xml:space="preserve">.  </w:t>
      </w:r>
      <w:r>
        <w:rPr>
          <w:rFonts w:ascii="Tahoma" w:hAnsi="Tahoma" w:cs="Tahoma"/>
          <w:sz w:val="20"/>
        </w:rPr>
        <w:t xml:space="preserve">Consumers need strong </w:t>
      </w:r>
      <w:r w:rsidR="001B45B5">
        <w:rPr>
          <w:rFonts w:ascii="Tahoma" w:hAnsi="Tahoma" w:cs="Tahoma"/>
          <w:sz w:val="20"/>
        </w:rPr>
        <w:t xml:space="preserve">provider </w:t>
      </w:r>
      <w:r>
        <w:rPr>
          <w:rFonts w:ascii="Tahoma" w:hAnsi="Tahoma" w:cs="Tahoma"/>
          <w:sz w:val="20"/>
        </w:rPr>
        <w:t>networks so that they can have a</w:t>
      </w:r>
      <w:r w:rsidR="006D70FA">
        <w:rPr>
          <w:rFonts w:ascii="Tahoma" w:hAnsi="Tahoma" w:cs="Tahoma"/>
          <w:sz w:val="20"/>
        </w:rPr>
        <w:t>c</w:t>
      </w:r>
      <w:r>
        <w:rPr>
          <w:rFonts w:ascii="Tahoma" w:hAnsi="Tahoma" w:cs="Tahoma"/>
          <w:sz w:val="20"/>
        </w:rPr>
        <w:t xml:space="preserve">cess to the care they need and the providers they rely on.  Inadequate and </w:t>
      </w:r>
      <w:r w:rsidR="001B45B5">
        <w:rPr>
          <w:rFonts w:ascii="Tahoma" w:hAnsi="Tahoma" w:cs="Tahoma"/>
          <w:sz w:val="20"/>
        </w:rPr>
        <w:t xml:space="preserve">constantly </w:t>
      </w:r>
      <w:r w:rsidR="00DE7B5C">
        <w:rPr>
          <w:rFonts w:ascii="Tahoma" w:hAnsi="Tahoma" w:cs="Tahoma"/>
          <w:sz w:val="20"/>
        </w:rPr>
        <w:t>c</w:t>
      </w:r>
      <w:r>
        <w:rPr>
          <w:rFonts w:ascii="Tahoma" w:hAnsi="Tahoma" w:cs="Tahoma"/>
          <w:sz w:val="20"/>
        </w:rPr>
        <w:t xml:space="preserve">hanging networks </w:t>
      </w:r>
      <w:r w:rsidR="00B055E6">
        <w:rPr>
          <w:rFonts w:ascii="Tahoma" w:hAnsi="Tahoma" w:cs="Tahoma"/>
          <w:sz w:val="20"/>
        </w:rPr>
        <w:t xml:space="preserve">and formularies </w:t>
      </w:r>
      <w:r>
        <w:rPr>
          <w:rFonts w:ascii="Tahoma" w:hAnsi="Tahoma" w:cs="Tahoma"/>
          <w:sz w:val="20"/>
        </w:rPr>
        <w:t>can lead to interruptions in care, delayed care, and</w:t>
      </w:r>
      <w:r w:rsidR="00DE7B5C">
        <w:rPr>
          <w:rFonts w:ascii="Tahoma" w:hAnsi="Tahoma" w:cs="Tahoma"/>
          <w:sz w:val="20"/>
        </w:rPr>
        <w:t xml:space="preserve"> </w:t>
      </w:r>
      <w:r>
        <w:rPr>
          <w:rFonts w:ascii="Tahoma" w:hAnsi="Tahoma" w:cs="Tahoma"/>
          <w:sz w:val="20"/>
        </w:rPr>
        <w:t>undue harm. Some ways that networks could be stre</w:t>
      </w:r>
      <w:r w:rsidR="001B45B5">
        <w:rPr>
          <w:rFonts w:ascii="Tahoma" w:hAnsi="Tahoma" w:cs="Tahoma"/>
          <w:sz w:val="20"/>
        </w:rPr>
        <w:t>ngthened include the following:</w:t>
      </w:r>
    </w:p>
    <w:p w:rsidR="00C13AFA" w:rsidRDefault="007901B8" w:rsidP="007C47C0">
      <w:pPr>
        <w:numPr>
          <w:ilvl w:val="0"/>
          <w:numId w:val="1"/>
        </w:numPr>
        <w:tabs>
          <w:tab w:val="left" w:pos="4680"/>
          <w:tab w:val="left" w:pos="8010"/>
        </w:tabs>
        <w:ind w:left="4680"/>
        <w:rPr>
          <w:rFonts w:ascii="Tahoma" w:hAnsi="Tahoma" w:cs="Tahoma"/>
          <w:color w:val="000000"/>
          <w:sz w:val="20"/>
        </w:rPr>
      </w:pPr>
      <w:r w:rsidRPr="007901B8">
        <w:rPr>
          <w:rFonts w:ascii="Tahoma" w:hAnsi="Tahoma" w:cs="Tahoma"/>
          <w:color w:val="000000"/>
          <w:sz w:val="20"/>
        </w:rPr>
        <w:t>Improving network adequacy requirements</w:t>
      </w:r>
      <w:r w:rsidR="001B45B5">
        <w:rPr>
          <w:rFonts w:ascii="Tahoma" w:hAnsi="Tahoma" w:cs="Tahoma"/>
          <w:color w:val="000000"/>
          <w:sz w:val="20"/>
        </w:rPr>
        <w:t xml:space="preserve"> – Currently, Qualified Health </w:t>
      </w:r>
      <w:r w:rsidR="003B689B">
        <w:rPr>
          <w:rFonts w:ascii="Tahoma" w:hAnsi="Tahoma" w:cs="Tahoma"/>
          <w:color w:val="000000"/>
          <w:sz w:val="20"/>
        </w:rPr>
        <w:t xml:space="preserve">Plans </w:t>
      </w:r>
      <w:r w:rsidR="001B45B5">
        <w:rPr>
          <w:rFonts w:ascii="Tahoma" w:hAnsi="Tahoma" w:cs="Tahoma"/>
          <w:color w:val="000000"/>
          <w:sz w:val="20"/>
        </w:rPr>
        <w:t xml:space="preserve">(QHPs) </w:t>
      </w:r>
      <w:r w:rsidR="003B689B">
        <w:rPr>
          <w:rFonts w:ascii="Tahoma" w:hAnsi="Tahoma" w:cs="Tahoma"/>
          <w:color w:val="000000"/>
          <w:sz w:val="20"/>
        </w:rPr>
        <w:t xml:space="preserve">must include at least two of each required specialist.  </w:t>
      </w:r>
      <w:r w:rsidR="002B792F">
        <w:rPr>
          <w:rFonts w:ascii="Tahoma" w:hAnsi="Tahoma" w:cs="Tahoma"/>
          <w:color w:val="000000"/>
          <w:sz w:val="20"/>
        </w:rPr>
        <w:t xml:space="preserve">Required specialists include </w:t>
      </w:r>
      <w:r w:rsidR="00DE7B5C">
        <w:rPr>
          <w:rFonts w:ascii="Tahoma" w:hAnsi="Tahoma" w:cs="Tahoma"/>
          <w:color w:val="000000"/>
          <w:sz w:val="20"/>
        </w:rPr>
        <w:t>nuerology and nuerology surgery</w:t>
      </w:r>
      <w:r w:rsidR="00043362">
        <w:rPr>
          <w:rFonts w:ascii="Tahoma" w:hAnsi="Tahoma" w:cs="Tahoma"/>
          <w:color w:val="000000"/>
          <w:sz w:val="20"/>
        </w:rPr>
        <w:t>, but o</w:t>
      </w:r>
      <w:r w:rsidR="002B792F">
        <w:rPr>
          <w:rFonts w:ascii="Tahoma" w:hAnsi="Tahoma" w:cs="Tahoma"/>
          <w:color w:val="000000"/>
          <w:sz w:val="20"/>
        </w:rPr>
        <w:t xml:space="preserve">ur members would </w:t>
      </w:r>
      <w:r w:rsidR="00043362">
        <w:rPr>
          <w:rFonts w:ascii="Tahoma" w:hAnsi="Tahoma" w:cs="Tahoma"/>
          <w:color w:val="000000"/>
          <w:sz w:val="20"/>
        </w:rPr>
        <w:t xml:space="preserve">also </w:t>
      </w:r>
      <w:r w:rsidR="002B792F">
        <w:rPr>
          <w:rFonts w:ascii="Tahoma" w:hAnsi="Tahoma" w:cs="Tahoma"/>
          <w:color w:val="000000"/>
          <w:sz w:val="20"/>
        </w:rPr>
        <w:t xml:space="preserve">like to see </w:t>
      </w:r>
      <w:r w:rsidR="00043362">
        <w:rPr>
          <w:rFonts w:ascii="Tahoma" w:hAnsi="Tahoma" w:cs="Tahoma"/>
          <w:color w:val="000000"/>
          <w:sz w:val="20"/>
        </w:rPr>
        <w:t xml:space="preserve">subspecialists (such as </w:t>
      </w:r>
      <w:r w:rsidR="002B792F">
        <w:rPr>
          <w:rFonts w:ascii="Tahoma" w:hAnsi="Tahoma" w:cs="Tahoma"/>
          <w:color w:val="000000"/>
          <w:sz w:val="20"/>
        </w:rPr>
        <w:t>MS nuerologists</w:t>
      </w:r>
      <w:r w:rsidR="00043362">
        <w:rPr>
          <w:rFonts w:ascii="Tahoma" w:hAnsi="Tahoma" w:cs="Tahoma"/>
          <w:color w:val="000000"/>
          <w:sz w:val="20"/>
        </w:rPr>
        <w:t>)</w:t>
      </w:r>
      <w:r w:rsidR="002B792F">
        <w:rPr>
          <w:rFonts w:ascii="Tahoma" w:hAnsi="Tahoma" w:cs="Tahoma"/>
          <w:color w:val="000000"/>
          <w:sz w:val="20"/>
        </w:rPr>
        <w:t xml:space="preserve"> required.  Networks should also be required to include NCI Cancer </w:t>
      </w:r>
      <w:r w:rsidR="00C13AFA">
        <w:rPr>
          <w:rFonts w:ascii="Tahoma" w:hAnsi="Tahoma" w:cs="Tahoma"/>
          <w:color w:val="000000"/>
          <w:sz w:val="20"/>
        </w:rPr>
        <w:t>Centers and Transplant Centers.</w:t>
      </w:r>
    </w:p>
    <w:p w:rsidR="007901B8" w:rsidRPr="002D7213" w:rsidRDefault="00D34177" w:rsidP="00D34177">
      <w:pPr>
        <w:numPr>
          <w:ilvl w:val="0"/>
          <w:numId w:val="1"/>
        </w:numPr>
        <w:tabs>
          <w:tab w:val="left" w:pos="4680"/>
          <w:tab w:val="left" w:pos="8010"/>
        </w:tabs>
        <w:ind w:left="4680"/>
        <w:rPr>
          <w:rFonts w:ascii="Tahoma" w:hAnsi="Tahoma" w:cs="Tahoma"/>
          <w:color w:val="000000"/>
          <w:sz w:val="20"/>
        </w:rPr>
      </w:pPr>
      <w:r w:rsidRPr="002D7213">
        <w:rPr>
          <w:rFonts w:ascii="Tahoma" w:hAnsi="Tahoma" w:cs="Tahoma"/>
          <w:color w:val="000000"/>
          <w:sz w:val="20"/>
        </w:rPr>
        <w:t>Requ</w:t>
      </w:r>
      <w:r w:rsidR="0053423B" w:rsidRPr="002D7213">
        <w:rPr>
          <w:rFonts w:ascii="Tahoma" w:hAnsi="Tahoma" w:cs="Tahoma"/>
          <w:color w:val="000000"/>
          <w:sz w:val="20"/>
        </w:rPr>
        <w:t>i</w:t>
      </w:r>
      <w:r w:rsidRPr="002D7213">
        <w:rPr>
          <w:rFonts w:ascii="Tahoma" w:hAnsi="Tahoma" w:cs="Tahoma"/>
          <w:color w:val="000000"/>
          <w:sz w:val="20"/>
        </w:rPr>
        <w:t>ring minim</w:t>
      </w:r>
      <w:r w:rsidR="0053423B" w:rsidRPr="002D7213">
        <w:rPr>
          <w:rFonts w:ascii="Tahoma" w:hAnsi="Tahoma" w:cs="Tahoma"/>
          <w:color w:val="000000"/>
          <w:sz w:val="20"/>
        </w:rPr>
        <w:t>um appointment availability standards</w:t>
      </w:r>
      <w:r w:rsidR="005576B0">
        <w:rPr>
          <w:rFonts w:ascii="Tahoma" w:hAnsi="Tahoma" w:cs="Tahoma"/>
          <w:color w:val="000000"/>
          <w:sz w:val="20"/>
        </w:rPr>
        <w:t xml:space="preserve"> by adopting NYS DOH’s Medicaid appointment availability standards for private insurance plans</w:t>
      </w:r>
      <w:r w:rsidR="002D7213">
        <w:rPr>
          <w:rFonts w:ascii="Tahoma" w:hAnsi="Tahoma" w:cs="Tahoma"/>
          <w:color w:val="000000"/>
          <w:sz w:val="20"/>
        </w:rPr>
        <w:t>.</w:t>
      </w:r>
      <w:r w:rsidR="005576B0">
        <w:rPr>
          <w:rFonts w:ascii="Tahoma" w:hAnsi="Tahoma" w:cs="Tahoma"/>
          <w:color w:val="000000"/>
          <w:sz w:val="20"/>
        </w:rPr>
        <w:t xml:space="preserve"> Consumers should have the right to go out of network i</w:t>
      </w:r>
      <w:r w:rsidR="000B544A">
        <w:rPr>
          <w:rFonts w:ascii="Tahoma" w:hAnsi="Tahoma" w:cs="Tahoma"/>
          <w:color w:val="000000"/>
          <w:sz w:val="20"/>
        </w:rPr>
        <w:t>f</w:t>
      </w:r>
      <w:r w:rsidR="005576B0">
        <w:rPr>
          <w:rFonts w:ascii="Tahoma" w:hAnsi="Tahoma" w:cs="Tahoma"/>
          <w:color w:val="000000"/>
          <w:sz w:val="20"/>
        </w:rPr>
        <w:t xml:space="preserve"> the</w:t>
      </w:r>
      <w:r w:rsidR="000B544A">
        <w:rPr>
          <w:rFonts w:ascii="Tahoma" w:hAnsi="Tahoma" w:cs="Tahoma"/>
          <w:color w:val="000000"/>
          <w:sz w:val="20"/>
        </w:rPr>
        <w:t xml:space="preserve">y cannot get appointments with </w:t>
      </w:r>
      <w:r w:rsidR="005576B0">
        <w:rPr>
          <w:rFonts w:ascii="Tahoma" w:hAnsi="Tahoma" w:cs="Tahoma"/>
          <w:color w:val="000000"/>
          <w:sz w:val="20"/>
        </w:rPr>
        <w:t xml:space="preserve">accessible providers that speak their language within these time frames.  </w:t>
      </w:r>
      <w:r w:rsidR="0053423B" w:rsidRPr="002D7213">
        <w:rPr>
          <w:rFonts w:ascii="Tahoma" w:hAnsi="Tahoma" w:cs="Tahoma"/>
          <w:color w:val="000000"/>
          <w:sz w:val="20"/>
        </w:rPr>
        <w:t xml:space="preserve"> </w:t>
      </w:r>
      <w:r w:rsidR="002B792F" w:rsidRPr="002D7213">
        <w:rPr>
          <w:rFonts w:ascii="Tahoma" w:hAnsi="Tahoma" w:cs="Tahoma"/>
          <w:color w:val="000000"/>
          <w:sz w:val="20"/>
        </w:rPr>
        <w:t xml:space="preserve">     </w:t>
      </w:r>
      <w:r w:rsidR="003B689B" w:rsidRPr="002D7213">
        <w:rPr>
          <w:rFonts w:ascii="Tahoma" w:hAnsi="Tahoma" w:cs="Tahoma"/>
          <w:color w:val="000000"/>
          <w:sz w:val="20"/>
        </w:rPr>
        <w:t xml:space="preserve">  </w:t>
      </w:r>
    </w:p>
    <w:p w:rsidR="007901B8" w:rsidRDefault="007901B8" w:rsidP="007C47C0">
      <w:pPr>
        <w:numPr>
          <w:ilvl w:val="0"/>
          <w:numId w:val="1"/>
        </w:numPr>
        <w:tabs>
          <w:tab w:val="left" w:pos="4680"/>
          <w:tab w:val="left" w:pos="8010"/>
        </w:tabs>
        <w:ind w:left="4680"/>
        <w:rPr>
          <w:rFonts w:ascii="Tahoma" w:hAnsi="Tahoma" w:cs="Tahoma"/>
          <w:color w:val="000000"/>
          <w:sz w:val="20"/>
        </w:rPr>
      </w:pPr>
      <w:r w:rsidRPr="007901B8">
        <w:rPr>
          <w:rFonts w:ascii="Tahoma" w:hAnsi="Tahoma" w:cs="Tahoma"/>
          <w:color w:val="000000"/>
          <w:sz w:val="20"/>
        </w:rPr>
        <w:t xml:space="preserve">Requiring </w:t>
      </w:r>
      <w:r w:rsidR="00234020">
        <w:rPr>
          <w:rFonts w:ascii="Tahoma" w:hAnsi="Tahoma" w:cs="Tahoma"/>
          <w:color w:val="000000"/>
          <w:sz w:val="20"/>
        </w:rPr>
        <w:t>QHPs</w:t>
      </w:r>
      <w:r w:rsidRPr="007901B8">
        <w:rPr>
          <w:rFonts w:ascii="Tahoma" w:hAnsi="Tahoma" w:cs="Tahoma"/>
          <w:color w:val="000000"/>
          <w:sz w:val="20"/>
        </w:rPr>
        <w:t xml:space="preserve"> not to drop providers</w:t>
      </w:r>
      <w:r w:rsidR="002B792F">
        <w:rPr>
          <w:rFonts w:ascii="Tahoma" w:hAnsi="Tahoma" w:cs="Tahoma"/>
          <w:color w:val="000000"/>
          <w:sz w:val="20"/>
        </w:rPr>
        <w:t xml:space="preserve"> </w:t>
      </w:r>
      <w:r w:rsidR="004B0651">
        <w:rPr>
          <w:rFonts w:ascii="Tahoma" w:hAnsi="Tahoma" w:cs="Tahoma"/>
          <w:color w:val="000000"/>
          <w:sz w:val="20"/>
        </w:rPr>
        <w:t xml:space="preserve">during a plan year </w:t>
      </w:r>
      <w:r w:rsidR="002B792F">
        <w:rPr>
          <w:rFonts w:ascii="Tahoma" w:hAnsi="Tahoma" w:cs="Tahoma"/>
          <w:color w:val="000000"/>
          <w:sz w:val="20"/>
        </w:rPr>
        <w:t>–</w:t>
      </w:r>
      <w:r w:rsidR="004B0651">
        <w:rPr>
          <w:rFonts w:ascii="Tahoma" w:hAnsi="Tahoma" w:cs="Tahoma"/>
          <w:color w:val="000000"/>
          <w:sz w:val="20"/>
        </w:rPr>
        <w:t xml:space="preserve"> </w:t>
      </w:r>
      <w:r w:rsidR="00234020">
        <w:rPr>
          <w:rFonts w:ascii="Tahoma" w:hAnsi="Tahoma" w:cs="Tahoma"/>
          <w:color w:val="000000"/>
          <w:sz w:val="20"/>
        </w:rPr>
        <w:t>QHPs</w:t>
      </w:r>
      <w:r w:rsidR="002B792F">
        <w:rPr>
          <w:rFonts w:ascii="Tahoma" w:hAnsi="Tahoma" w:cs="Tahoma"/>
          <w:color w:val="000000"/>
          <w:sz w:val="20"/>
        </w:rPr>
        <w:t xml:space="preserve"> should only be permitted to remove providers for cause</w:t>
      </w:r>
      <w:r w:rsidR="00F61775">
        <w:rPr>
          <w:rFonts w:ascii="Tahoma" w:hAnsi="Tahoma" w:cs="Tahoma"/>
          <w:color w:val="000000"/>
          <w:sz w:val="20"/>
        </w:rPr>
        <w:t xml:space="preserve"> during</w:t>
      </w:r>
      <w:r w:rsidR="00182BBF">
        <w:rPr>
          <w:rFonts w:ascii="Tahoma" w:hAnsi="Tahoma" w:cs="Tahoma"/>
          <w:color w:val="000000"/>
          <w:sz w:val="20"/>
        </w:rPr>
        <w:t xml:space="preserve"> a plan year</w:t>
      </w:r>
      <w:r w:rsidR="00F61775">
        <w:rPr>
          <w:rFonts w:ascii="Tahoma" w:hAnsi="Tahoma" w:cs="Tahoma"/>
          <w:color w:val="000000"/>
          <w:sz w:val="20"/>
        </w:rPr>
        <w:t>.</w:t>
      </w:r>
    </w:p>
    <w:p w:rsidR="00B055E6" w:rsidRPr="007901B8" w:rsidRDefault="00B055E6" w:rsidP="007C47C0">
      <w:pPr>
        <w:numPr>
          <w:ilvl w:val="0"/>
          <w:numId w:val="1"/>
        </w:numPr>
        <w:tabs>
          <w:tab w:val="left" w:pos="4680"/>
          <w:tab w:val="left" w:pos="8010"/>
        </w:tabs>
        <w:ind w:left="4680"/>
        <w:rPr>
          <w:rFonts w:ascii="Tahoma" w:hAnsi="Tahoma" w:cs="Tahoma"/>
          <w:color w:val="000000"/>
          <w:sz w:val="20"/>
        </w:rPr>
      </w:pPr>
      <w:r>
        <w:rPr>
          <w:rFonts w:ascii="Tahoma" w:hAnsi="Tahoma" w:cs="Tahoma"/>
          <w:color w:val="000000"/>
          <w:sz w:val="20"/>
        </w:rPr>
        <w:t>Prohibiting plans that are required to offer essential health benefits from dropping drugs from their formularies or adding higher cost sharing or utilization review requirements du</w:t>
      </w:r>
      <w:r w:rsidR="00A17F02">
        <w:rPr>
          <w:rFonts w:ascii="Tahoma" w:hAnsi="Tahoma" w:cs="Tahoma"/>
          <w:color w:val="000000"/>
          <w:sz w:val="20"/>
        </w:rPr>
        <w:t>r</w:t>
      </w:r>
      <w:r>
        <w:rPr>
          <w:rFonts w:ascii="Tahoma" w:hAnsi="Tahoma" w:cs="Tahoma"/>
          <w:color w:val="000000"/>
          <w:sz w:val="20"/>
        </w:rPr>
        <w:t xml:space="preserve">ing a plan year.  </w:t>
      </w:r>
      <w:r w:rsidR="00A17F02">
        <w:rPr>
          <w:rFonts w:ascii="Tahoma" w:hAnsi="Tahoma" w:cs="Tahoma"/>
          <w:color w:val="000000"/>
          <w:sz w:val="20"/>
        </w:rPr>
        <w:t>NYFAH</w:t>
      </w:r>
      <w:r w:rsidR="006D70FA">
        <w:rPr>
          <w:rFonts w:ascii="Tahoma" w:hAnsi="Tahoma" w:cs="Tahoma"/>
          <w:color w:val="000000"/>
          <w:sz w:val="20"/>
        </w:rPr>
        <w:t>C</w:t>
      </w:r>
      <w:r w:rsidR="00A17F02">
        <w:rPr>
          <w:rFonts w:ascii="Tahoma" w:hAnsi="Tahoma" w:cs="Tahoma"/>
          <w:color w:val="000000"/>
          <w:sz w:val="20"/>
        </w:rPr>
        <w:t xml:space="preserve"> supports A7707/S5382 which does this.</w:t>
      </w:r>
      <w:r>
        <w:rPr>
          <w:rFonts w:ascii="Tahoma" w:hAnsi="Tahoma" w:cs="Tahoma"/>
          <w:color w:val="000000"/>
          <w:sz w:val="20"/>
        </w:rPr>
        <w:t xml:space="preserve"> </w:t>
      </w:r>
    </w:p>
    <w:p w:rsidR="007901B8" w:rsidRPr="007901B8" w:rsidRDefault="003B689B" w:rsidP="007C47C0">
      <w:pPr>
        <w:numPr>
          <w:ilvl w:val="0"/>
          <w:numId w:val="1"/>
        </w:numPr>
        <w:tabs>
          <w:tab w:val="left" w:pos="4680"/>
          <w:tab w:val="left" w:pos="8010"/>
        </w:tabs>
        <w:ind w:left="4680"/>
        <w:rPr>
          <w:rFonts w:ascii="Tahoma" w:hAnsi="Tahoma" w:cs="Tahoma"/>
          <w:color w:val="000000"/>
          <w:sz w:val="20"/>
        </w:rPr>
      </w:pPr>
      <w:r>
        <w:rPr>
          <w:rFonts w:ascii="Tahoma" w:hAnsi="Tahoma" w:cs="Tahoma"/>
          <w:color w:val="000000"/>
          <w:sz w:val="20"/>
        </w:rPr>
        <w:t xml:space="preserve">Establish a </w:t>
      </w:r>
      <w:r w:rsidR="00182BBF">
        <w:rPr>
          <w:rFonts w:ascii="Tahoma" w:hAnsi="Tahoma" w:cs="Tahoma"/>
          <w:color w:val="000000"/>
          <w:sz w:val="20"/>
        </w:rPr>
        <w:t>“</w:t>
      </w:r>
      <w:r>
        <w:rPr>
          <w:rFonts w:ascii="Tahoma" w:hAnsi="Tahoma" w:cs="Tahoma"/>
          <w:color w:val="000000"/>
          <w:sz w:val="20"/>
        </w:rPr>
        <w:t>special enrollment period</w:t>
      </w:r>
      <w:r w:rsidR="00182BBF">
        <w:rPr>
          <w:rFonts w:ascii="Tahoma" w:hAnsi="Tahoma" w:cs="Tahoma"/>
          <w:color w:val="000000"/>
          <w:sz w:val="20"/>
        </w:rPr>
        <w:t>”</w:t>
      </w:r>
      <w:r>
        <w:rPr>
          <w:rFonts w:ascii="Tahoma" w:hAnsi="Tahoma" w:cs="Tahoma"/>
          <w:color w:val="000000"/>
          <w:sz w:val="20"/>
        </w:rPr>
        <w:t xml:space="preserve"> </w:t>
      </w:r>
      <w:r w:rsidR="00F61775">
        <w:rPr>
          <w:rFonts w:ascii="Tahoma" w:hAnsi="Tahoma" w:cs="Tahoma"/>
          <w:color w:val="000000"/>
          <w:sz w:val="20"/>
        </w:rPr>
        <w:t>for consumers t</w:t>
      </w:r>
      <w:r>
        <w:rPr>
          <w:rFonts w:ascii="Tahoma" w:hAnsi="Tahoma" w:cs="Tahoma"/>
          <w:color w:val="000000"/>
          <w:sz w:val="20"/>
        </w:rPr>
        <w:t xml:space="preserve">o change </w:t>
      </w:r>
      <w:r w:rsidR="00234020">
        <w:rPr>
          <w:rFonts w:ascii="Tahoma" w:hAnsi="Tahoma" w:cs="Tahoma"/>
          <w:color w:val="000000"/>
          <w:sz w:val="20"/>
        </w:rPr>
        <w:t>QHPs</w:t>
      </w:r>
      <w:r>
        <w:rPr>
          <w:rFonts w:ascii="Tahoma" w:hAnsi="Tahoma" w:cs="Tahoma"/>
          <w:color w:val="000000"/>
          <w:sz w:val="20"/>
        </w:rPr>
        <w:t xml:space="preserve"> if </w:t>
      </w:r>
      <w:r w:rsidR="00470706">
        <w:rPr>
          <w:rFonts w:ascii="Tahoma" w:hAnsi="Tahoma" w:cs="Tahoma"/>
          <w:color w:val="000000"/>
          <w:sz w:val="20"/>
        </w:rPr>
        <w:t xml:space="preserve">a </w:t>
      </w:r>
      <w:r>
        <w:rPr>
          <w:rFonts w:ascii="Tahoma" w:hAnsi="Tahoma" w:cs="Tahoma"/>
          <w:color w:val="000000"/>
          <w:sz w:val="20"/>
        </w:rPr>
        <w:t xml:space="preserve">provider network or formulary coverage </w:t>
      </w:r>
      <w:r w:rsidR="00182BBF">
        <w:rPr>
          <w:rFonts w:ascii="Tahoma" w:hAnsi="Tahoma" w:cs="Tahoma"/>
          <w:color w:val="000000"/>
          <w:sz w:val="20"/>
        </w:rPr>
        <w:t xml:space="preserve">is </w:t>
      </w:r>
      <w:r>
        <w:rPr>
          <w:rFonts w:ascii="Tahoma" w:hAnsi="Tahoma" w:cs="Tahoma"/>
          <w:color w:val="000000"/>
          <w:sz w:val="20"/>
        </w:rPr>
        <w:t>change</w:t>
      </w:r>
      <w:r w:rsidR="00182BBF">
        <w:rPr>
          <w:rFonts w:ascii="Tahoma" w:hAnsi="Tahoma" w:cs="Tahoma"/>
          <w:color w:val="000000"/>
          <w:sz w:val="20"/>
        </w:rPr>
        <w:t>d</w:t>
      </w:r>
      <w:r>
        <w:rPr>
          <w:rFonts w:ascii="Tahoma" w:hAnsi="Tahoma" w:cs="Tahoma"/>
          <w:color w:val="000000"/>
          <w:sz w:val="20"/>
        </w:rPr>
        <w:t xml:space="preserve"> to the detriment of</w:t>
      </w:r>
      <w:r w:rsidR="00F61775">
        <w:rPr>
          <w:rFonts w:ascii="Tahoma" w:hAnsi="Tahoma" w:cs="Tahoma"/>
          <w:color w:val="000000"/>
          <w:sz w:val="20"/>
        </w:rPr>
        <w:t xml:space="preserve"> </w:t>
      </w:r>
      <w:r w:rsidR="00182BBF">
        <w:rPr>
          <w:rFonts w:ascii="Tahoma" w:hAnsi="Tahoma" w:cs="Tahoma"/>
          <w:color w:val="000000"/>
          <w:sz w:val="20"/>
        </w:rPr>
        <w:t>a</w:t>
      </w:r>
      <w:r w:rsidR="00F61775">
        <w:rPr>
          <w:rFonts w:ascii="Tahoma" w:hAnsi="Tahoma" w:cs="Tahoma"/>
          <w:color w:val="000000"/>
          <w:sz w:val="20"/>
        </w:rPr>
        <w:t xml:space="preserve"> patient</w:t>
      </w:r>
      <w:r w:rsidR="00BD5663">
        <w:rPr>
          <w:rFonts w:ascii="Tahoma" w:hAnsi="Tahoma" w:cs="Tahoma"/>
          <w:color w:val="000000"/>
          <w:sz w:val="20"/>
        </w:rPr>
        <w:t xml:space="preserve"> currently in </w:t>
      </w:r>
      <w:r w:rsidR="00182BBF">
        <w:rPr>
          <w:rFonts w:ascii="Tahoma" w:hAnsi="Tahoma" w:cs="Tahoma"/>
          <w:color w:val="000000"/>
          <w:sz w:val="20"/>
        </w:rPr>
        <w:t xml:space="preserve">active </w:t>
      </w:r>
      <w:r w:rsidR="00BD5663">
        <w:rPr>
          <w:rFonts w:ascii="Tahoma" w:hAnsi="Tahoma" w:cs="Tahoma"/>
          <w:color w:val="000000"/>
          <w:sz w:val="20"/>
        </w:rPr>
        <w:t>treatment</w:t>
      </w:r>
      <w:r w:rsidR="00DE7B5C">
        <w:rPr>
          <w:rFonts w:ascii="Tahoma" w:hAnsi="Tahoma" w:cs="Tahoma"/>
          <w:color w:val="000000"/>
          <w:sz w:val="20"/>
        </w:rPr>
        <w:t>.</w:t>
      </w:r>
      <w:r>
        <w:rPr>
          <w:rFonts w:ascii="Tahoma" w:hAnsi="Tahoma" w:cs="Tahoma"/>
          <w:color w:val="000000"/>
          <w:sz w:val="20"/>
        </w:rPr>
        <w:t xml:space="preserve"> </w:t>
      </w:r>
    </w:p>
    <w:p w:rsidR="002F5D79" w:rsidRPr="002F5D79" w:rsidRDefault="007901B8" w:rsidP="002F5D79">
      <w:pPr>
        <w:numPr>
          <w:ilvl w:val="0"/>
          <w:numId w:val="1"/>
        </w:numPr>
        <w:tabs>
          <w:tab w:val="left" w:pos="4680"/>
          <w:tab w:val="left" w:pos="8010"/>
        </w:tabs>
        <w:ind w:left="4680"/>
        <w:rPr>
          <w:rFonts w:ascii="Tahoma" w:hAnsi="Tahoma" w:cs="Tahoma"/>
          <w:sz w:val="20"/>
        </w:rPr>
      </w:pPr>
      <w:r w:rsidRPr="002F5D79">
        <w:rPr>
          <w:rFonts w:ascii="Tahoma" w:hAnsi="Tahoma" w:cs="Tahoma"/>
          <w:color w:val="000000"/>
          <w:sz w:val="20"/>
        </w:rPr>
        <w:t xml:space="preserve">Extending </w:t>
      </w:r>
      <w:r w:rsidR="002B792F" w:rsidRPr="002F5D79">
        <w:rPr>
          <w:rFonts w:ascii="Tahoma" w:hAnsi="Tahoma" w:cs="Tahoma"/>
          <w:color w:val="000000"/>
          <w:sz w:val="20"/>
        </w:rPr>
        <w:t xml:space="preserve">the </w:t>
      </w:r>
      <w:r w:rsidR="00470706" w:rsidRPr="002F5D79">
        <w:rPr>
          <w:rFonts w:ascii="Tahoma" w:hAnsi="Tahoma" w:cs="Tahoma"/>
          <w:color w:val="000000"/>
          <w:sz w:val="20"/>
        </w:rPr>
        <w:t>90-</w:t>
      </w:r>
      <w:r w:rsidRPr="002F5D79">
        <w:rPr>
          <w:rFonts w:ascii="Tahoma" w:hAnsi="Tahoma" w:cs="Tahoma"/>
          <w:color w:val="000000"/>
          <w:sz w:val="20"/>
        </w:rPr>
        <w:t>day transition period</w:t>
      </w:r>
      <w:r w:rsidR="00A17F02">
        <w:rPr>
          <w:rFonts w:ascii="Tahoma" w:hAnsi="Tahoma" w:cs="Tahoma"/>
          <w:color w:val="000000"/>
          <w:sz w:val="20"/>
        </w:rPr>
        <w:t xml:space="preserve"> to the end of the contract year </w:t>
      </w:r>
      <w:r w:rsidR="00BD5663" w:rsidRPr="002F5D79">
        <w:rPr>
          <w:rFonts w:ascii="Tahoma" w:hAnsi="Tahoma" w:cs="Tahoma"/>
          <w:color w:val="000000"/>
          <w:sz w:val="20"/>
        </w:rPr>
        <w:t xml:space="preserve">when </w:t>
      </w:r>
      <w:r w:rsidR="00A17F02">
        <w:rPr>
          <w:rFonts w:ascii="Tahoma" w:hAnsi="Tahoma" w:cs="Tahoma"/>
          <w:color w:val="000000"/>
          <w:sz w:val="20"/>
        </w:rPr>
        <w:t>networks or formularies change</w:t>
      </w:r>
      <w:r w:rsidR="0075019C" w:rsidRPr="002F5D79">
        <w:rPr>
          <w:rFonts w:ascii="Tahoma" w:hAnsi="Tahoma" w:cs="Tahoma"/>
          <w:color w:val="000000"/>
          <w:sz w:val="20"/>
        </w:rPr>
        <w:t>,</w:t>
      </w:r>
      <w:r w:rsidR="00CE2C27" w:rsidRPr="002F5D79">
        <w:rPr>
          <w:rFonts w:ascii="Tahoma" w:hAnsi="Tahoma" w:cs="Tahoma"/>
          <w:color w:val="000000"/>
          <w:sz w:val="20"/>
        </w:rPr>
        <w:t xml:space="preserve"> </w:t>
      </w:r>
      <w:r w:rsidR="00A17F02">
        <w:rPr>
          <w:rFonts w:ascii="Tahoma" w:hAnsi="Tahoma" w:cs="Tahoma"/>
          <w:color w:val="000000"/>
          <w:sz w:val="20"/>
        </w:rPr>
        <w:t xml:space="preserve">if </w:t>
      </w:r>
      <w:r w:rsidR="00CE2C27" w:rsidRPr="002F5D79">
        <w:rPr>
          <w:rFonts w:ascii="Tahoma" w:hAnsi="Tahoma" w:cs="Tahoma"/>
          <w:color w:val="000000"/>
          <w:sz w:val="20"/>
        </w:rPr>
        <w:t>the provider agrees to accept the standard payment offered by the QHP</w:t>
      </w:r>
      <w:r w:rsidR="00DE7B5C" w:rsidRPr="002F5D79">
        <w:rPr>
          <w:rFonts w:ascii="Tahoma" w:hAnsi="Tahoma" w:cs="Tahoma"/>
          <w:color w:val="000000"/>
          <w:sz w:val="20"/>
        </w:rPr>
        <w:t>.</w:t>
      </w:r>
      <w:r w:rsidR="008A1044" w:rsidRPr="002F5D79">
        <w:rPr>
          <w:rFonts w:ascii="Tahoma" w:hAnsi="Tahoma" w:cs="Tahoma"/>
          <w:color w:val="000000"/>
          <w:sz w:val="20"/>
        </w:rPr>
        <w:t xml:space="preserve"> NYFAHC supports A1932 which does this</w:t>
      </w:r>
      <w:r w:rsidR="00A17F02">
        <w:rPr>
          <w:rFonts w:ascii="Tahoma" w:hAnsi="Tahoma" w:cs="Tahoma"/>
          <w:color w:val="000000"/>
          <w:sz w:val="20"/>
        </w:rPr>
        <w:t xml:space="preserve"> for providers</w:t>
      </w:r>
      <w:r w:rsidR="008A1044" w:rsidRPr="002F5D79">
        <w:rPr>
          <w:rFonts w:ascii="Tahoma" w:hAnsi="Tahoma" w:cs="Tahoma"/>
          <w:color w:val="000000"/>
          <w:sz w:val="20"/>
        </w:rPr>
        <w:t>.</w:t>
      </w:r>
    </w:p>
    <w:p w:rsidR="005576B0" w:rsidRPr="005576B0" w:rsidRDefault="002F5D79" w:rsidP="002F5D79">
      <w:pPr>
        <w:numPr>
          <w:ilvl w:val="0"/>
          <w:numId w:val="1"/>
        </w:numPr>
        <w:tabs>
          <w:tab w:val="left" w:pos="4680"/>
          <w:tab w:val="left" w:pos="8010"/>
        </w:tabs>
        <w:ind w:left="4680"/>
        <w:rPr>
          <w:rFonts w:ascii="Tahoma" w:hAnsi="Tahoma" w:cs="Tahoma"/>
          <w:sz w:val="20"/>
        </w:rPr>
      </w:pPr>
      <w:r>
        <w:rPr>
          <w:rFonts w:ascii="Tahoma" w:hAnsi="Tahoma" w:cs="Tahoma"/>
          <w:color w:val="000000"/>
          <w:sz w:val="20"/>
        </w:rPr>
        <w:t>R</w:t>
      </w:r>
      <w:r w:rsidR="005576B0">
        <w:rPr>
          <w:rFonts w:ascii="Tahoma" w:hAnsi="Tahoma" w:cs="Tahoma"/>
          <w:color w:val="000000"/>
          <w:sz w:val="20"/>
        </w:rPr>
        <w:t>e</w:t>
      </w:r>
      <w:r>
        <w:rPr>
          <w:rFonts w:ascii="Tahoma" w:hAnsi="Tahoma" w:cs="Tahoma"/>
          <w:color w:val="000000"/>
          <w:sz w:val="20"/>
        </w:rPr>
        <w:t>qui</w:t>
      </w:r>
      <w:r w:rsidR="005576B0">
        <w:rPr>
          <w:rFonts w:ascii="Tahoma" w:hAnsi="Tahoma" w:cs="Tahoma"/>
          <w:color w:val="000000"/>
          <w:sz w:val="20"/>
        </w:rPr>
        <w:t>r</w:t>
      </w:r>
      <w:r>
        <w:rPr>
          <w:rFonts w:ascii="Tahoma" w:hAnsi="Tahoma" w:cs="Tahoma"/>
          <w:color w:val="000000"/>
          <w:sz w:val="20"/>
        </w:rPr>
        <w:t>e plans to meet minimum standards for linguistic diversity and for ADA compliance</w:t>
      </w:r>
      <w:r w:rsidR="005576B0">
        <w:rPr>
          <w:rFonts w:ascii="Tahoma" w:hAnsi="Tahoma" w:cs="Tahoma"/>
          <w:color w:val="000000"/>
          <w:sz w:val="20"/>
        </w:rPr>
        <w:t xml:space="preserve">.  Plans need to have providers that are fully accessible and have medical and diagnostic equipment that meets the standards of the access board. </w:t>
      </w:r>
    </w:p>
    <w:p w:rsidR="005576B0" w:rsidRDefault="005576B0" w:rsidP="005576B0">
      <w:pPr>
        <w:tabs>
          <w:tab w:val="left" w:pos="4680"/>
          <w:tab w:val="left" w:pos="8010"/>
        </w:tabs>
        <w:ind w:left="4320"/>
        <w:rPr>
          <w:rFonts w:ascii="Tahoma" w:hAnsi="Tahoma" w:cs="Tahoma"/>
          <w:color w:val="000000"/>
          <w:sz w:val="20"/>
        </w:rPr>
      </w:pPr>
    </w:p>
    <w:p w:rsidR="00A17F02" w:rsidRPr="008818EE" w:rsidRDefault="00A17F02" w:rsidP="00A17F02">
      <w:pPr>
        <w:tabs>
          <w:tab w:val="left" w:pos="8010"/>
        </w:tabs>
        <w:ind w:left="3960"/>
        <w:rPr>
          <w:rFonts w:ascii="Tahoma" w:hAnsi="Tahoma" w:cs="Tahoma"/>
          <w:sz w:val="20"/>
        </w:rPr>
      </w:pPr>
      <w:r>
        <w:rPr>
          <w:rFonts w:ascii="Tahoma" w:hAnsi="Tahoma" w:cs="Tahoma"/>
          <w:b/>
          <w:sz w:val="20"/>
        </w:rPr>
        <w:t>O</w:t>
      </w:r>
      <w:r w:rsidRPr="009474C7">
        <w:rPr>
          <w:rFonts w:ascii="Tahoma" w:hAnsi="Tahoma" w:cs="Tahoma"/>
          <w:b/>
          <w:sz w:val="20"/>
        </w:rPr>
        <w:t xml:space="preserve">ut-of-network </w:t>
      </w:r>
      <w:r>
        <w:rPr>
          <w:rFonts w:ascii="Tahoma" w:hAnsi="Tahoma" w:cs="Tahoma"/>
          <w:b/>
          <w:sz w:val="20"/>
        </w:rPr>
        <w:t xml:space="preserve">coverage and services.  </w:t>
      </w:r>
      <w:r w:rsidRPr="00205DAE">
        <w:rPr>
          <w:rFonts w:ascii="Tahoma" w:hAnsi="Tahoma" w:cs="Tahoma"/>
          <w:sz w:val="20"/>
        </w:rPr>
        <w:t xml:space="preserve">Even </w:t>
      </w:r>
      <w:r>
        <w:rPr>
          <w:rFonts w:ascii="Tahoma" w:hAnsi="Tahoma" w:cs="Tahoma"/>
          <w:sz w:val="20"/>
        </w:rPr>
        <w:t xml:space="preserve">with improved network adequacy and external review appeal processes, many consumers would prefer to purchase an out-of-network option that allows them to use out-of-network </w:t>
      </w:r>
      <w:r>
        <w:rPr>
          <w:rFonts w:ascii="Tahoma" w:hAnsi="Tahoma" w:cs="Tahoma"/>
          <w:sz w:val="20"/>
        </w:rPr>
        <w:lastRenderedPageBreak/>
        <w:t xml:space="preserve">providers even if at a somewhat increased cost.  People paying for vital and often life-saving treatments with trusted providers – HIV and cancer specialists, for example – should retain the right to see these providers without bearing the complete full costs of these services. </w:t>
      </w:r>
      <w:r w:rsidRPr="008818EE">
        <w:rPr>
          <w:rFonts w:ascii="Tahoma" w:hAnsi="Tahoma" w:cs="Tahoma"/>
          <w:sz w:val="20"/>
        </w:rPr>
        <w:t>The State should require plans to offer out</w:t>
      </w:r>
      <w:r w:rsidRPr="008818EE">
        <w:rPr>
          <w:rFonts w:ascii="Cambria Math" w:hAnsi="Cambria Math" w:cs="Tahoma"/>
          <w:sz w:val="20"/>
        </w:rPr>
        <w:t>‐</w:t>
      </w:r>
      <w:r w:rsidRPr="008818EE">
        <w:rPr>
          <w:rFonts w:ascii="Tahoma" w:hAnsi="Tahoma" w:cs="Tahoma"/>
          <w:sz w:val="20"/>
        </w:rPr>
        <w:t>of</w:t>
      </w:r>
      <w:r w:rsidRPr="008818EE">
        <w:rPr>
          <w:rFonts w:ascii="Cambria Math" w:hAnsi="Cambria Math" w:cs="Tahoma"/>
          <w:sz w:val="20"/>
        </w:rPr>
        <w:t>‐</w:t>
      </w:r>
      <w:r w:rsidRPr="008818EE">
        <w:rPr>
          <w:rFonts w:ascii="Tahoma" w:hAnsi="Tahoma" w:cs="Tahoma"/>
          <w:sz w:val="20"/>
        </w:rPr>
        <w:t>network coverage in at least one silver</w:t>
      </w:r>
      <w:r w:rsidRPr="008818EE">
        <w:rPr>
          <w:rFonts w:ascii="Cambria Math" w:hAnsi="Cambria Math" w:cs="Tahoma"/>
          <w:sz w:val="20"/>
        </w:rPr>
        <w:t>‐</w:t>
      </w:r>
      <w:r w:rsidRPr="008818EE">
        <w:rPr>
          <w:rFonts w:ascii="Tahoma" w:hAnsi="Tahoma" w:cs="Tahoma"/>
          <w:sz w:val="20"/>
        </w:rPr>
        <w:t>level plan and one platinum</w:t>
      </w:r>
      <w:r w:rsidRPr="008818EE">
        <w:rPr>
          <w:rFonts w:ascii="Cambria Math" w:hAnsi="Cambria Math" w:cs="Tahoma"/>
          <w:sz w:val="20"/>
        </w:rPr>
        <w:t>‐</w:t>
      </w:r>
      <w:r w:rsidRPr="008818EE">
        <w:rPr>
          <w:rFonts w:ascii="Tahoma" w:hAnsi="Tahoma" w:cs="Tahoma"/>
          <w:sz w:val="20"/>
        </w:rPr>
        <w:t xml:space="preserve">level plan. Health plans could offer such coverage as a rider to insurance policies. </w:t>
      </w:r>
    </w:p>
    <w:p w:rsidR="00A17F02" w:rsidRDefault="00A17F02" w:rsidP="00A17F02">
      <w:pPr>
        <w:tabs>
          <w:tab w:val="left" w:pos="8010"/>
        </w:tabs>
        <w:ind w:left="3960"/>
        <w:rPr>
          <w:sz w:val="23"/>
          <w:szCs w:val="23"/>
        </w:rPr>
      </w:pPr>
    </w:p>
    <w:p w:rsidR="00A17F02" w:rsidRPr="008818EE" w:rsidRDefault="00A17F02" w:rsidP="00A17F02">
      <w:pPr>
        <w:tabs>
          <w:tab w:val="left" w:pos="8010"/>
        </w:tabs>
        <w:ind w:left="3960"/>
        <w:rPr>
          <w:rFonts w:ascii="Tahoma" w:hAnsi="Tahoma" w:cs="Tahoma"/>
          <w:sz w:val="20"/>
        </w:rPr>
      </w:pPr>
      <w:r>
        <w:rPr>
          <w:rFonts w:ascii="Tahoma" w:hAnsi="Tahoma" w:cs="Tahoma"/>
          <w:sz w:val="20"/>
        </w:rPr>
        <w:t xml:space="preserve">The </w:t>
      </w:r>
      <w:r w:rsidRPr="008818EE">
        <w:rPr>
          <w:rFonts w:ascii="Tahoma" w:hAnsi="Tahoma" w:cs="Tahoma"/>
          <w:sz w:val="20"/>
        </w:rPr>
        <w:t xml:space="preserve">surprise bill law </w:t>
      </w:r>
      <w:r>
        <w:rPr>
          <w:rFonts w:ascii="Tahoma" w:hAnsi="Tahoma" w:cs="Tahoma"/>
          <w:sz w:val="20"/>
        </w:rPr>
        <w:t xml:space="preserve">should be amended </w:t>
      </w:r>
      <w:r w:rsidRPr="008818EE">
        <w:rPr>
          <w:rFonts w:ascii="Tahoma" w:hAnsi="Tahoma" w:cs="Tahoma"/>
          <w:sz w:val="20"/>
        </w:rPr>
        <w:t xml:space="preserve">to apply to all misrepresentations of network status. The current definition only applies to services that an insured person chooses to receive from a non-participating provider pursuant to a referral by a participating provider. It does not protect people in plans that do not require referrals, even if the out of network provider they choose has misrepresented his or her network status. </w:t>
      </w:r>
    </w:p>
    <w:p w:rsidR="00A17F02" w:rsidRPr="008818EE" w:rsidRDefault="00A17F02" w:rsidP="00A17F02">
      <w:pPr>
        <w:tabs>
          <w:tab w:val="left" w:pos="8010"/>
        </w:tabs>
        <w:ind w:left="3960"/>
        <w:rPr>
          <w:rFonts w:ascii="Tahoma" w:hAnsi="Tahoma" w:cs="Tahoma"/>
          <w:sz w:val="20"/>
        </w:rPr>
      </w:pPr>
    </w:p>
    <w:p w:rsidR="00A17F02" w:rsidRDefault="00A17F02" w:rsidP="00A17F02">
      <w:pPr>
        <w:tabs>
          <w:tab w:val="left" w:pos="8010"/>
        </w:tabs>
        <w:ind w:left="3960"/>
        <w:rPr>
          <w:rFonts w:ascii="Tahoma" w:hAnsi="Tahoma" w:cs="Tahoma"/>
          <w:sz w:val="20"/>
        </w:rPr>
      </w:pPr>
      <w:r>
        <w:rPr>
          <w:rFonts w:ascii="Tahoma" w:hAnsi="Tahoma" w:cs="Tahoma"/>
          <w:b/>
          <w:bCs/>
          <w:sz w:val="20"/>
        </w:rPr>
        <w:t xml:space="preserve">Merge the individual direct pay and small group health insurance pools both inside and outside of the NYSOH marketplace.  </w:t>
      </w:r>
      <w:r w:rsidRPr="00204034">
        <w:rPr>
          <w:rFonts w:ascii="Tahoma" w:hAnsi="Tahoma" w:cs="Tahoma"/>
          <w:bCs/>
          <w:sz w:val="20"/>
        </w:rPr>
        <w:t xml:space="preserve">New York </w:t>
      </w:r>
      <w:r>
        <w:rPr>
          <w:rFonts w:ascii="Tahoma" w:hAnsi="Tahoma" w:cs="Tahoma"/>
          <w:bCs/>
          <w:sz w:val="20"/>
        </w:rPr>
        <w:t xml:space="preserve">still </w:t>
      </w:r>
      <w:r w:rsidRPr="00204034">
        <w:rPr>
          <w:rFonts w:ascii="Tahoma" w:hAnsi="Tahoma" w:cs="Tahoma"/>
          <w:bCs/>
          <w:sz w:val="20"/>
        </w:rPr>
        <w:t>separates its individual and small</w:t>
      </w:r>
      <w:r>
        <w:rPr>
          <w:rFonts w:ascii="Tahoma" w:hAnsi="Tahoma" w:cs="Tahoma"/>
          <w:bCs/>
          <w:sz w:val="20"/>
        </w:rPr>
        <w:t xml:space="preserve"> group insurance markets, both inside and outside of the marketplace.  </w:t>
      </w:r>
      <w:r>
        <w:rPr>
          <w:rFonts w:ascii="Tahoma" w:hAnsi="Tahoma" w:cs="Tahoma"/>
          <w:sz w:val="20"/>
        </w:rPr>
        <w:t xml:space="preserve">While an individual mandate is bringing new purchasers into the market and has lowered prices, both affordability and choice for individuals would be even more enhanced by a market merger.  It would help ensure an out-of-network option and it would also provide continuity of care during transitions between workplace and individual coverage.  Massachusetts offers an example of a successful market merger. </w:t>
      </w:r>
    </w:p>
    <w:p w:rsidR="00A17F02" w:rsidRDefault="00A17F02" w:rsidP="00A17F02">
      <w:pPr>
        <w:tabs>
          <w:tab w:val="left" w:pos="8010"/>
        </w:tabs>
        <w:ind w:left="3960"/>
        <w:rPr>
          <w:rFonts w:ascii="Tahoma" w:hAnsi="Tahoma" w:cs="Tahoma"/>
          <w:sz w:val="20"/>
        </w:rPr>
      </w:pPr>
      <w:r>
        <w:rPr>
          <w:rFonts w:ascii="Tahoma" w:hAnsi="Tahoma" w:cs="Tahoma"/>
          <w:sz w:val="20"/>
        </w:rPr>
        <w:t xml:space="preserve"> </w:t>
      </w:r>
    </w:p>
    <w:p w:rsidR="002F5D79" w:rsidRDefault="007E76B1" w:rsidP="00B055E6">
      <w:pPr>
        <w:tabs>
          <w:tab w:val="left" w:pos="8010"/>
        </w:tabs>
        <w:ind w:left="3960"/>
        <w:rPr>
          <w:rFonts w:ascii="Tahoma" w:hAnsi="Tahoma" w:cs="Tahoma"/>
          <w:b/>
          <w:color w:val="000000"/>
          <w:sz w:val="20"/>
        </w:rPr>
      </w:pPr>
      <w:r w:rsidRPr="007E76B1">
        <w:rPr>
          <w:rFonts w:ascii="Tahoma" w:hAnsi="Tahoma" w:cs="Tahoma"/>
          <w:b/>
          <w:color w:val="000000"/>
          <w:sz w:val="20"/>
        </w:rPr>
        <w:t>PATIENT PROTECTIONS</w:t>
      </w:r>
      <w:r w:rsidR="002F5D79" w:rsidRPr="007E76B1">
        <w:rPr>
          <w:rFonts w:ascii="Tahoma" w:hAnsi="Tahoma" w:cs="Tahoma"/>
          <w:b/>
          <w:color w:val="000000"/>
          <w:sz w:val="20"/>
        </w:rPr>
        <w:t xml:space="preserve"> </w:t>
      </w:r>
    </w:p>
    <w:p w:rsidR="007E76B1" w:rsidRDefault="007E76B1" w:rsidP="00B055E6">
      <w:pPr>
        <w:tabs>
          <w:tab w:val="left" w:pos="8010"/>
        </w:tabs>
        <w:ind w:left="3960"/>
        <w:rPr>
          <w:rFonts w:ascii="Tahoma" w:hAnsi="Tahoma" w:cs="Tahoma"/>
          <w:b/>
          <w:color w:val="000000"/>
          <w:sz w:val="20"/>
        </w:rPr>
      </w:pPr>
    </w:p>
    <w:p w:rsidR="007E76B1" w:rsidRDefault="007E76B1" w:rsidP="00B055E6">
      <w:pPr>
        <w:tabs>
          <w:tab w:val="left" w:pos="8010"/>
        </w:tabs>
        <w:ind w:left="3960"/>
        <w:rPr>
          <w:rFonts w:ascii="Tahoma" w:hAnsi="Tahoma" w:cs="Tahoma"/>
          <w:b/>
          <w:color w:val="000000"/>
          <w:sz w:val="20"/>
        </w:rPr>
      </w:pPr>
      <w:r>
        <w:rPr>
          <w:rFonts w:ascii="Tahoma" w:hAnsi="Tahoma" w:cs="Tahoma"/>
          <w:b/>
          <w:color w:val="000000"/>
          <w:sz w:val="20"/>
        </w:rPr>
        <w:t xml:space="preserve">Establish a reserve fund.  </w:t>
      </w:r>
      <w:r w:rsidRPr="007E76B1">
        <w:rPr>
          <w:rFonts w:ascii="Tahoma" w:hAnsi="Tahoma" w:cs="Tahoma"/>
          <w:color w:val="000000"/>
          <w:sz w:val="20"/>
        </w:rPr>
        <w:t>In the event that carriers begin to fail mid-year</w:t>
      </w:r>
      <w:r>
        <w:rPr>
          <w:rFonts w:ascii="Tahoma" w:hAnsi="Tahoma" w:cs="Tahoma"/>
          <w:color w:val="000000"/>
          <w:sz w:val="20"/>
        </w:rPr>
        <w:t xml:space="preserve"> a reserve fund should be established the minimize disruptions for consumers.</w:t>
      </w:r>
      <w:r>
        <w:rPr>
          <w:rFonts w:ascii="Tahoma" w:hAnsi="Tahoma" w:cs="Tahoma"/>
          <w:b/>
          <w:color w:val="000000"/>
          <w:sz w:val="20"/>
        </w:rPr>
        <w:t xml:space="preserve"> </w:t>
      </w:r>
    </w:p>
    <w:p w:rsidR="007E76B1" w:rsidRDefault="007E76B1" w:rsidP="00B055E6">
      <w:pPr>
        <w:tabs>
          <w:tab w:val="left" w:pos="8010"/>
        </w:tabs>
        <w:ind w:left="3960"/>
        <w:rPr>
          <w:rFonts w:ascii="Tahoma" w:hAnsi="Tahoma" w:cs="Tahoma"/>
          <w:b/>
          <w:sz w:val="20"/>
        </w:rPr>
      </w:pPr>
    </w:p>
    <w:p w:rsidR="007E76B1" w:rsidRDefault="007E76B1" w:rsidP="00B055E6">
      <w:pPr>
        <w:tabs>
          <w:tab w:val="left" w:pos="8010"/>
        </w:tabs>
        <w:ind w:left="3960"/>
        <w:rPr>
          <w:rFonts w:ascii="Tahoma" w:hAnsi="Tahoma" w:cs="Tahoma"/>
          <w:sz w:val="20"/>
        </w:rPr>
      </w:pPr>
      <w:r>
        <w:rPr>
          <w:rFonts w:ascii="Tahoma" w:hAnsi="Tahoma" w:cs="Tahoma"/>
          <w:b/>
          <w:sz w:val="20"/>
        </w:rPr>
        <w:t xml:space="preserve">Credit consumer payments towards deductibles.  </w:t>
      </w:r>
      <w:r w:rsidRPr="007E76B1">
        <w:rPr>
          <w:rFonts w:ascii="Tahoma" w:hAnsi="Tahoma" w:cs="Tahoma"/>
          <w:sz w:val="20"/>
        </w:rPr>
        <w:t>Roll over progress on Maximum Out-of-Pocket payments and de</w:t>
      </w:r>
      <w:r>
        <w:rPr>
          <w:rFonts w:ascii="Tahoma" w:hAnsi="Tahoma" w:cs="Tahoma"/>
          <w:sz w:val="20"/>
        </w:rPr>
        <w:t>d</w:t>
      </w:r>
      <w:r w:rsidRPr="007E76B1">
        <w:rPr>
          <w:rFonts w:ascii="Tahoma" w:hAnsi="Tahoma" w:cs="Tahoma"/>
          <w:sz w:val="20"/>
        </w:rPr>
        <w:t>uctibles</w:t>
      </w:r>
      <w:r>
        <w:rPr>
          <w:rFonts w:ascii="Tahoma" w:hAnsi="Tahoma" w:cs="Tahoma"/>
          <w:sz w:val="20"/>
        </w:rPr>
        <w:t xml:space="preserve"> if consumers have to change plans mid-year.</w:t>
      </w:r>
    </w:p>
    <w:p w:rsidR="002F5D79" w:rsidRPr="007E76B1" w:rsidRDefault="002F5D79" w:rsidP="002F5D79">
      <w:pPr>
        <w:tabs>
          <w:tab w:val="left" w:pos="4680"/>
          <w:tab w:val="left" w:pos="8010"/>
        </w:tabs>
        <w:ind w:left="4680"/>
        <w:rPr>
          <w:rFonts w:ascii="Tahoma" w:hAnsi="Tahoma" w:cs="Tahoma"/>
          <w:sz w:val="20"/>
        </w:rPr>
      </w:pPr>
    </w:p>
    <w:p w:rsidR="002F5D79" w:rsidRDefault="002F5D79" w:rsidP="005576B0">
      <w:pPr>
        <w:tabs>
          <w:tab w:val="left" w:pos="4680"/>
          <w:tab w:val="left" w:pos="8010"/>
        </w:tabs>
        <w:ind w:left="3960"/>
        <w:rPr>
          <w:rFonts w:ascii="Tahoma" w:hAnsi="Tahoma" w:cs="Tahoma"/>
          <w:color w:val="000000"/>
          <w:sz w:val="20"/>
        </w:rPr>
      </w:pPr>
      <w:r w:rsidRPr="002F5D79">
        <w:rPr>
          <w:rFonts w:ascii="Tahoma" w:hAnsi="Tahoma" w:cs="Tahoma"/>
          <w:b/>
          <w:sz w:val="20"/>
        </w:rPr>
        <w:t xml:space="preserve">Establish a remediation program for consumers. </w:t>
      </w:r>
      <w:r w:rsidRPr="002F5D79">
        <w:rPr>
          <w:rFonts w:ascii="Tahoma" w:hAnsi="Tahoma" w:cs="Tahoma"/>
          <w:sz w:val="20"/>
        </w:rPr>
        <w:t xml:space="preserve"> Although the New York State of Health (NYSOH) marketplace and navigator agencies have done remarkable work in transitioning hundreds of thousands of New Yorkers into new coverage, many consumers, especially those facing unusual circumstances, have been misadvised because of inadequate training of insurance company personnel or others, regarding the coverage options open to them.  Some of them have ended up in policies that are inappropriate for their needs when they had the right to better coverage.  NYFAHC urges the state to set up a remediation program administered by the Department of Financial Services, to enable those who have suffered from such misadvice to switch to the proper coverage retroactively.</w:t>
      </w:r>
    </w:p>
    <w:p w:rsidR="002B792F" w:rsidRPr="007901B8" w:rsidRDefault="002B792F" w:rsidP="007901B8">
      <w:pPr>
        <w:tabs>
          <w:tab w:val="left" w:pos="8010"/>
        </w:tabs>
        <w:ind w:left="3960"/>
        <w:rPr>
          <w:rFonts w:ascii="Tahoma" w:hAnsi="Tahoma" w:cs="Tahoma"/>
          <w:color w:val="000000"/>
          <w:sz w:val="20"/>
        </w:rPr>
      </w:pPr>
    </w:p>
    <w:p w:rsidR="002F5D79" w:rsidRDefault="002B792F" w:rsidP="002F5D79">
      <w:pPr>
        <w:tabs>
          <w:tab w:val="left" w:pos="8010"/>
        </w:tabs>
        <w:ind w:left="3960"/>
        <w:rPr>
          <w:rFonts w:ascii="Courier New" w:hAnsi="Courier New" w:cs="Courier New"/>
          <w:noProof w:val="0"/>
          <w:color w:val="000000"/>
          <w:sz w:val="23"/>
          <w:szCs w:val="23"/>
        </w:rPr>
      </w:pPr>
      <w:r w:rsidRPr="000E0995">
        <w:rPr>
          <w:rFonts w:ascii="Tahoma" w:hAnsi="Tahoma" w:cs="Tahoma"/>
          <w:b/>
          <w:sz w:val="20"/>
        </w:rPr>
        <w:t>Expand External Review.</w:t>
      </w:r>
      <w:r>
        <w:rPr>
          <w:rFonts w:ascii="Tahoma" w:hAnsi="Tahoma" w:cs="Tahoma"/>
          <w:sz w:val="20"/>
        </w:rPr>
        <w:t xml:space="preserve">  External Review of health plan decisions should be extended </w:t>
      </w:r>
      <w:r w:rsidR="002F5D79">
        <w:rPr>
          <w:rFonts w:ascii="Tahoma" w:hAnsi="Tahoma" w:cs="Tahoma"/>
          <w:sz w:val="20"/>
        </w:rPr>
        <w:t>in the following ways:</w:t>
      </w:r>
    </w:p>
    <w:p w:rsidR="002F5D79" w:rsidRPr="005576B0" w:rsidRDefault="002F5D79" w:rsidP="002F5D79">
      <w:pPr>
        <w:pStyle w:val="ListParagraph"/>
        <w:numPr>
          <w:ilvl w:val="0"/>
          <w:numId w:val="3"/>
        </w:numPr>
        <w:tabs>
          <w:tab w:val="left" w:pos="8010"/>
        </w:tabs>
        <w:autoSpaceDE w:val="0"/>
        <w:autoSpaceDN w:val="0"/>
        <w:adjustRightInd w:val="0"/>
        <w:spacing w:after="13"/>
        <w:rPr>
          <w:rFonts w:ascii="Tahoma" w:hAnsi="Tahoma" w:cs="Tahoma"/>
          <w:noProof w:val="0"/>
          <w:color w:val="000000"/>
          <w:sz w:val="20"/>
        </w:rPr>
      </w:pPr>
      <w:r w:rsidRPr="005576B0">
        <w:rPr>
          <w:rFonts w:ascii="Tahoma" w:hAnsi="Tahoma" w:cs="Tahoma"/>
          <w:noProof w:val="0"/>
          <w:color w:val="000000"/>
          <w:sz w:val="20"/>
        </w:rPr>
        <w:t xml:space="preserve">Cover more types of health care issues, such as disputes over access to in-network specialists and amounts reimbursed for out-of-network services. </w:t>
      </w:r>
    </w:p>
    <w:p w:rsidR="002F5D79" w:rsidRPr="005576B0" w:rsidRDefault="002F5D79" w:rsidP="002F5D79">
      <w:pPr>
        <w:pStyle w:val="ListParagraph"/>
        <w:numPr>
          <w:ilvl w:val="0"/>
          <w:numId w:val="3"/>
        </w:numPr>
        <w:tabs>
          <w:tab w:val="left" w:pos="8010"/>
        </w:tabs>
        <w:autoSpaceDE w:val="0"/>
        <w:autoSpaceDN w:val="0"/>
        <w:adjustRightInd w:val="0"/>
        <w:spacing w:after="13"/>
        <w:rPr>
          <w:rFonts w:ascii="Tahoma" w:hAnsi="Tahoma" w:cs="Tahoma"/>
          <w:noProof w:val="0"/>
          <w:color w:val="000000"/>
          <w:sz w:val="20"/>
        </w:rPr>
      </w:pPr>
      <w:r w:rsidRPr="005576B0">
        <w:rPr>
          <w:rFonts w:ascii="Tahoma" w:hAnsi="Tahoma" w:cs="Tahoma"/>
          <w:noProof w:val="0"/>
          <w:color w:val="000000"/>
          <w:sz w:val="20"/>
        </w:rPr>
        <w:lastRenderedPageBreak/>
        <w:t xml:space="preserve">Cover questions of billing – as opposed to medical determination – such as non-covered services. </w:t>
      </w:r>
    </w:p>
    <w:p w:rsidR="002F5D79" w:rsidRPr="005576B0" w:rsidRDefault="002F5D79" w:rsidP="002F5D79">
      <w:pPr>
        <w:pStyle w:val="ListParagraph"/>
        <w:numPr>
          <w:ilvl w:val="0"/>
          <w:numId w:val="3"/>
        </w:numPr>
        <w:tabs>
          <w:tab w:val="left" w:pos="8010"/>
        </w:tabs>
        <w:autoSpaceDE w:val="0"/>
        <w:autoSpaceDN w:val="0"/>
        <w:adjustRightInd w:val="0"/>
        <w:spacing w:after="13"/>
        <w:rPr>
          <w:rFonts w:ascii="Tahoma" w:hAnsi="Tahoma" w:cs="Tahoma"/>
          <w:noProof w:val="0"/>
          <w:color w:val="000000"/>
          <w:sz w:val="20"/>
        </w:rPr>
      </w:pPr>
      <w:r w:rsidRPr="005576B0">
        <w:rPr>
          <w:rFonts w:ascii="Tahoma" w:hAnsi="Tahoma" w:cs="Tahoma"/>
          <w:noProof w:val="0"/>
          <w:color w:val="000000"/>
          <w:sz w:val="20"/>
        </w:rPr>
        <w:t xml:space="preserve">Create a public database of all external review decisions (with privacy protections) that can be accessed to ensure transparency for consumers and advocates. </w:t>
      </w:r>
    </w:p>
    <w:p w:rsidR="002B792F" w:rsidRPr="005576B0" w:rsidRDefault="002B792F" w:rsidP="002B792F">
      <w:pPr>
        <w:tabs>
          <w:tab w:val="left" w:pos="8010"/>
        </w:tabs>
        <w:ind w:left="3960"/>
        <w:rPr>
          <w:rFonts w:ascii="Tahoma" w:hAnsi="Tahoma" w:cs="Tahoma"/>
          <w:sz w:val="20"/>
        </w:rPr>
      </w:pPr>
      <w:r w:rsidRPr="005576B0">
        <w:rPr>
          <w:rFonts w:ascii="Tahoma" w:hAnsi="Tahoma" w:cs="Tahoma"/>
          <w:sz w:val="20"/>
        </w:rPr>
        <w:t xml:space="preserve">The external review system should </w:t>
      </w:r>
      <w:r w:rsidR="00F55A9A" w:rsidRPr="005576B0">
        <w:rPr>
          <w:rFonts w:ascii="Tahoma" w:hAnsi="Tahoma" w:cs="Tahoma"/>
          <w:sz w:val="20"/>
        </w:rPr>
        <w:t xml:space="preserve">also </w:t>
      </w:r>
      <w:r w:rsidRPr="005576B0">
        <w:rPr>
          <w:rFonts w:ascii="Tahoma" w:hAnsi="Tahoma" w:cs="Tahoma"/>
          <w:sz w:val="20"/>
        </w:rPr>
        <w:t xml:space="preserve">be opened to large self–insured employer and union plans -- both to increase revenue and provide a more consistent system of appeals across the insurance landscape.  </w:t>
      </w:r>
    </w:p>
    <w:p w:rsidR="002B792F" w:rsidRDefault="002B792F" w:rsidP="002B792F">
      <w:pPr>
        <w:tabs>
          <w:tab w:val="left" w:pos="8010"/>
        </w:tabs>
        <w:ind w:left="3960"/>
        <w:rPr>
          <w:rFonts w:ascii="Tahoma" w:hAnsi="Tahoma" w:cs="Tahoma"/>
          <w:b/>
          <w:sz w:val="20"/>
        </w:rPr>
      </w:pPr>
    </w:p>
    <w:p w:rsidR="002B792F" w:rsidRDefault="002B792F" w:rsidP="002B792F">
      <w:pPr>
        <w:tabs>
          <w:tab w:val="left" w:pos="8010"/>
        </w:tabs>
        <w:ind w:left="3960"/>
        <w:rPr>
          <w:rFonts w:ascii="Tahoma" w:hAnsi="Tahoma" w:cs="Tahoma"/>
          <w:sz w:val="20"/>
        </w:rPr>
      </w:pPr>
      <w:r w:rsidRPr="00204034">
        <w:rPr>
          <w:rFonts w:ascii="Tahoma" w:hAnsi="Tahoma" w:cs="Tahoma"/>
          <w:b/>
          <w:sz w:val="20"/>
        </w:rPr>
        <w:t>Establish a publicly available searchable database of all external review decisions.</w:t>
      </w:r>
      <w:r>
        <w:rPr>
          <w:rFonts w:ascii="Tahoma" w:hAnsi="Tahoma" w:cs="Tahoma"/>
          <w:sz w:val="20"/>
        </w:rPr>
        <w:t xml:space="preserve">  Currently there is no public database of external review cases.  This makes it difficult for consumer</w:t>
      </w:r>
      <w:r w:rsidR="00F55A9A">
        <w:rPr>
          <w:rFonts w:ascii="Tahoma" w:hAnsi="Tahoma" w:cs="Tahoma"/>
          <w:sz w:val="20"/>
        </w:rPr>
        <w:t>s</w:t>
      </w:r>
      <w:r>
        <w:rPr>
          <w:rFonts w:ascii="Tahoma" w:hAnsi="Tahoma" w:cs="Tahoma"/>
          <w:sz w:val="20"/>
        </w:rPr>
        <w:t xml:space="preserve"> and those who assist </w:t>
      </w:r>
      <w:r w:rsidR="00F55A9A">
        <w:rPr>
          <w:rFonts w:ascii="Tahoma" w:hAnsi="Tahoma" w:cs="Tahoma"/>
          <w:sz w:val="20"/>
        </w:rPr>
        <w:t xml:space="preserve">them </w:t>
      </w:r>
      <w:r>
        <w:rPr>
          <w:rFonts w:ascii="Tahoma" w:hAnsi="Tahoma" w:cs="Tahoma"/>
          <w:sz w:val="20"/>
        </w:rPr>
        <w:t>to find information about similar cases.  New York should ensure transparency in the external review system by establishing a searchable data base for public use.</w:t>
      </w:r>
      <w:r w:rsidR="002D7213">
        <w:rPr>
          <w:rFonts w:ascii="Tahoma" w:hAnsi="Tahoma" w:cs="Tahoma"/>
          <w:sz w:val="20"/>
        </w:rPr>
        <w:t xml:space="preserve">  Deisions should be redacted and consumers should be permitted to “opt out” of the data base.</w:t>
      </w:r>
      <w:r>
        <w:rPr>
          <w:rFonts w:ascii="Tahoma" w:hAnsi="Tahoma" w:cs="Tahoma"/>
          <w:sz w:val="20"/>
        </w:rPr>
        <w:t xml:space="preserve"> </w:t>
      </w:r>
    </w:p>
    <w:p w:rsidR="000026C3" w:rsidRDefault="000026C3" w:rsidP="002B6F82">
      <w:pPr>
        <w:tabs>
          <w:tab w:val="left" w:pos="8010"/>
        </w:tabs>
        <w:ind w:left="3960"/>
        <w:rPr>
          <w:rFonts w:ascii="Tahoma" w:hAnsi="Tahoma" w:cs="Tahoma"/>
          <w:color w:val="000000"/>
          <w:sz w:val="20"/>
        </w:rPr>
      </w:pPr>
    </w:p>
    <w:p w:rsidR="00D30596" w:rsidRDefault="00D30596" w:rsidP="00D30596">
      <w:pPr>
        <w:tabs>
          <w:tab w:val="left" w:pos="8010"/>
        </w:tabs>
        <w:ind w:left="3960"/>
        <w:rPr>
          <w:rFonts w:ascii="Tahoma" w:hAnsi="Tahoma"/>
          <w:b/>
          <w:sz w:val="20"/>
        </w:rPr>
      </w:pPr>
      <w:r>
        <w:rPr>
          <w:rFonts w:ascii="Tahoma" w:hAnsi="Tahoma"/>
          <w:b/>
          <w:sz w:val="20"/>
        </w:rPr>
        <w:t xml:space="preserve">ACCESSIBILITY OF COVERAGE </w:t>
      </w:r>
    </w:p>
    <w:p w:rsidR="00D30596" w:rsidRDefault="00D30596" w:rsidP="00D30596">
      <w:pPr>
        <w:tabs>
          <w:tab w:val="left" w:pos="8010"/>
        </w:tabs>
        <w:ind w:left="3960"/>
        <w:rPr>
          <w:rFonts w:ascii="Tahoma" w:hAnsi="Tahoma"/>
          <w:b/>
          <w:sz w:val="20"/>
        </w:rPr>
      </w:pPr>
    </w:p>
    <w:p w:rsidR="008A21C2" w:rsidRDefault="00DB179C" w:rsidP="008A21C2">
      <w:pPr>
        <w:tabs>
          <w:tab w:val="left" w:pos="8010"/>
        </w:tabs>
        <w:ind w:left="3960"/>
        <w:rPr>
          <w:rFonts w:ascii="Tahoma" w:hAnsi="Tahoma" w:cs="Tahoma"/>
          <w:sz w:val="20"/>
        </w:rPr>
      </w:pPr>
      <w:r>
        <w:rPr>
          <w:rFonts w:ascii="Tahoma" w:hAnsi="Tahoma" w:cs="Tahoma"/>
          <w:b/>
          <w:sz w:val="20"/>
        </w:rPr>
        <w:t xml:space="preserve">The NYSOH marketplace </w:t>
      </w:r>
      <w:r w:rsidR="00D30596">
        <w:rPr>
          <w:rFonts w:ascii="Tahoma" w:hAnsi="Tahoma" w:cs="Tahoma"/>
          <w:b/>
          <w:sz w:val="20"/>
        </w:rPr>
        <w:t xml:space="preserve">should integrate private commercial coverage and </w:t>
      </w:r>
      <w:r w:rsidR="00791144">
        <w:rPr>
          <w:rFonts w:ascii="Tahoma" w:hAnsi="Tahoma" w:cs="Tahoma"/>
          <w:b/>
          <w:sz w:val="20"/>
        </w:rPr>
        <w:t xml:space="preserve">all forms of </w:t>
      </w:r>
      <w:r w:rsidR="00D30596">
        <w:rPr>
          <w:rFonts w:ascii="Tahoma" w:hAnsi="Tahoma" w:cs="Tahoma"/>
          <w:b/>
          <w:sz w:val="20"/>
        </w:rPr>
        <w:t>public coverage</w:t>
      </w:r>
      <w:r w:rsidR="00791144">
        <w:rPr>
          <w:rFonts w:ascii="Tahoma" w:hAnsi="Tahoma" w:cs="Tahoma"/>
          <w:b/>
          <w:sz w:val="20"/>
        </w:rPr>
        <w:t>,</w:t>
      </w:r>
      <w:r w:rsidR="00D30596">
        <w:rPr>
          <w:rFonts w:ascii="Tahoma" w:hAnsi="Tahoma" w:cs="Tahoma"/>
          <w:b/>
          <w:sz w:val="20"/>
        </w:rPr>
        <w:t xml:space="preserve"> and be </w:t>
      </w:r>
      <w:r w:rsidR="00D30596" w:rsidRPr="00856668">
        <w:rPr>
          <w:rFonts w:ascii="Tahoma" w:hAnsi="Tahoma" w:cs="Tahoma"/>
          <w:b/>
          <w:sz w:val="20"/>
        </w:rPr>
        <w:t xml:space="preserve">capable of </w:t>
      </w:r>
      <w:r w:rsidR="00D30596">
        <w:rPr>
          <w:rFonts w:ascii="Tahoma" w:hAnsi="Tahoma" w:cs="Tahoma"/>
          <w:b/>
          <w:sz w:val="20"/>
        </w:rPr>
        <w:t xml:space="preserve">enrolling people in the most beneficial program for which they are eligible.  </w:t>
      </w:r>
      <w:r w:rsidR="00D30596">
        <w:rPr>
          <w:rFonts w:ascii="Tahoma" w:hAnsi="Tahoma" w:cs="Tahoma"/>
          <w:sz w:val="20"/>
        </w:rPr>
        <w:t xml:space="preserve">For people with disabilities who need comprehensive coverage that meets their needs, it is particularly important that </w:t>
      </w:r>
      <w:r w:rsidR="0075019C">
        <w:rPr>
          <w:rFonts w:ascii="Tahoma" w:hAnsi="Tahoma" w:cs="Tahoma"/>
          <w:sz w:val="20"/>
        </w:rPr>
        <w:t xml:space="preserve">NYSOH </w:t>
      </w:r>
      <w:r w:rsidR="00D30596">
        <w:rPr>
          <w:rFonts w:ascii="Tahoma" w:hAnsi="Tahoma" w:cs="Tahoma"/>
          <w:sz w:val="20"/>
        </w:rPr>
        <w:t>do a thorough evaluation of eligibility that takes into consid</w:t>
      </w:r>
      <w:r w:rsidR="005A3D7B">
        <w:rPr>
          <w:rFonts w:ascii="Tahoma" w:hAnsi="Tahoma" w:cs="Tahoma"/>
          <w:sz w:val="20"/>
        </w:rPr>
        <w:t>eration disability or diagnosis-</w:t>
      </w:r>
      <w:r w:rsidR="00D30596">
        <w:rPr>
          <w:rFonts w:ascii="Tahoma" w:hAnsi="Tahoma" w:cs="Tahoma"/>
          <w:sz w:val="20"/>
        </w:rPr>
        <w:t>related Medicaid</w:t>
      </w:r>
      <w:r w:rsidR="009A7A16">
        <w:rPr>
          <w:rFonts w:ascii="Tahoma" w:hAnsi="Tahoma" w:cs="Tahoma"/>
          <w:sz w:val="20"/>
        </w:rPr>
        <w:t>,</w:t>
      </w:r>
      <w:r w:rsidR="00D30596">
        <w:rPr>
          <w:rFonts w:ascii="Tahoma" w:hAnsi="Tahoma" w:cs="Tahoma"/>
          <w:sz w:val="20"/>
        </w:rPr>
        <w:t xml:space="preserve"> such as Medicaid Buy-in, Medicaid Spendown, and the Medicaid Cancer Treatment Program.  Currently coverage </w:t>
      </w:r>
      <w:r w:rsidR="009A7A16">
        <w:rPr>
          <w:rFonts w:ascii="Tahoma" w:hAnsi="Tahoma" w:cs="Tahoma"/>
          <w:sz w:val="20"/>
        </w:rPr>
        <w:t xml:space="preserve">for these programs </w:t>
      </w:r>
      <w:r w:rsidR="00D30596">
        <w:rPr>
          <w:rFonts w:ascii="Tahoma" w:hAnsi="Tahoma" w:cs="Tahoma"/>
          <w:sz w:val="20"/>
        </w:rPr>
        <w:t xml:space="preserve">is not available through </w:t>
      </w:r>
      <w:r w:rsidR="009A7A16">
        <w:rPr>
          <w:rFonts w:ascii="Tahoma" w:hAnsi="Tahoma" w:cs="Tahoma"/>
          <w:sz w:val="20"/>
        </w:rPr>
        <w:t xml:space="preserve">NYSOH </w:t>
      </w:r>
      <w:r w:rsidR="00D30596">
        <w:rPr>
          <w:rFonts w:ascii="Tahoma" w:hAnsi="Tahoma" w:cs="Tahoma"/>
          <w:sz w:val="20"/>
        </w:rPr>
        <w:t xml:space="preserve">for </w:t>
      </w:r>
      <w:r w:rsidR="005A3D7B">
        <w:rPr>
          <w:rFonts w:ascii="Tahoma" w:hAnsi="Tahoma" w:cs="Tahoma"/>
          <w:sz w:val="20"/>
        </w:rPr>
        <w:t xml:space="preserve">these </w:t>
      </w:r>
      <w:r w:rsidR="00D30596">
        <w:rPr>
          <w:rFonts w:ascii="Tahoma" w:hAnsi="Tahoma" w:cs="Tahoma"/>
          <w:sz w:val="20"/>
        </w:rPr>
        <w:t xml:space="preserve">“non-MAGI” populations. </w:t>
      </w:r>
      <w:r w:rsidR="009A7A16">
        <w:rPr>
          <w:rFonts w:ascii="Tahoma" w:hAnsi="Tahoma" w:cs="Tahoma"/>
          <w:sz w:val="20"/>
        </w:rPr>
        <w:t xml:space="preserve"> </w:t>
      </w:r>
      <w:r w:rsidR="003D0808">
        <w:rPr>
          <w:rFonts w:ascii="Tahoma" w:hAnsi="Tahoma" w:cs="Tahoma"/>
          <w:sz w:val="20"/>
        </w:rPr>
        <w:t xml:space="preserve">NYSOH </w:t>
      </w:r>
      <w:r w:rsidR="009A7A16">
        <w:rPr>
          <w:rFonts w:ascii="Tahoma" w:hAnsi="Tahoma" w:cs="Tahoma"/>
          <w:sz w:val="20"/>
        </w:rPr>
        <w:t xml:space="preserve">does </w:t>
      </w:r>
      <w:r w:rsidR="00D30596">
        <w:rPr>
          <w:rFonts w:ascii="Tahoma" w:hAnsi="Tahoma" w:cs="Tahoma"/>
          <w:sz w:val="20"/>
        </w:rPr>
        <w:t>ask if a person has a disab</w:t>
      </w:r>
      <w:r w:rsidR="0018723D">
        <w:rPr>
          <w:rFonts w:ascii="Tahoma" w:hAnsi="Tahoma" w:cs="Tahoma"/>
          <w:sz w:val="20"/>
        </w:rPr>
        <w:t xml:space="preserve">ility </w:t>
      </w:r>
      <w:r w:rsidR="005F076B">
        <w:rPr>
          <w:rFonts w:ascii="Tahoma" w:hAnsi="Tahoma" w:cs="Tahoma"/>
          <w:sz w:val="20"/>
        </w:rPr>
        <w:t xml:space="preserve">determination, </w:t>
      </w:r>
      <w:r w:rsidR="0018723D">
        <w:rPr>
          <w:rFonts w:ascii="Tahoma" w:hAnsi="Tahoma" w:cs="Tahoma"/>
          <w:sz w:val="20"/>
        </w:rPr>
        <w:t>is blind</w:t>
      </w:r>
      <w:r w:rsidR="005F076B">
        <w:rPr>
          <w:rFonts w:ascii="Tahoma" w:hAnsi="Tahoma" w:cs="Tahoma"/>
          <w:sz w:val="20"/>
        </w:rPr>
        <w:t>,</w:t>
      </w:r>
      <w:r w:rsidR="0018723D">
        <w:rPr>
          <w:rFonts w:ascii="Tahoma" w:hAnsi="Tahoma" w:cs="Tahoma"/>
          <w:sz w:val="20"/>
        </w:rPr>
        <w:t xml:space="preserve"> or needs long-</w:t>
      </w:r>
      <w:r w:rsidR="00D30596">
        <w:rPr>
          <w:rFonts w:ascii="Tahoma" w:hAnsi="Tahoma" w:cs="Tahoma"/>
          <w:sz w:val="20"/>
        </w:rPr>
        <w:t>term care services</w:t>
      </w:r>
      <w:r w:rsidR="005F076B">
        <w:rPr>
          <w:rFonts w:ascii="Tahoma" w:hAnsi="Tahoma" w:cs="Tahoma"/>
          <w:sz w:val="20"/>
        </w:rPr>
        <w:t xml:space="preserve">, </w:t>
      </w:r>
      <w:r w:rsidR="009034E6">
        <w:rPr>
          <w:rFonts w:ascii="Tahoma" w:hAnsi="Tahoma" w:cs="Tahoma"/>
          <w:sz w:val="20"/>
        </w:rPr>
        <w:t xml:space="preserve">and </w:t>
      </w:r>
      <w:r w:rsidR="005F076B">
        <w:rPr>
          <w:rFonts w:ascii="Tahoma" w:hAnsi="Tahoma" w:cs="Tahoma"/>
          <w:sz w:val="20"/>
        </w:rPr>
        <w:t xml:space="preserve">then refers them </w:t>
      </w:r>
      <w:r w:rsidR="00D30596">
        <w:rPr>
          <w:rFonts w:ascii="Tahoma" w:hAnsi="Tahoma" w:cs="Tahoma"/>
          <w:sz w:val="20"/>
        </w:rPr>
        <w:t xml:space="preserve">to the local Department of Social Services for an </w:t>
      </w:r>
      <w:r w:rsidR="009A7A16">
        <w:rPr>
          <w:rFonts w:ascii="Tahoma" w:hAnsi="Tahoma" w:cs="Tahoma"/>
          <w:sz w:val="20"/>
        </w:rPr>
        <w:t xml:space="preserve">actual </w:t>
      </w:r>
      <w:r w:rsidR="00D30596">
        <w:rPr>
          <w:rFonts w:ascii="Tahoma" w:hAnsi="Tahoma" w:cs="Tahoma"/>
          <w:sz w:val="20"/>
        </w:rPr>
        <w:t xml:space="preserve">eligibility determination.  An additional question that should </w:t>
      </w:r>
      <w:r w:rsidR="0093260F">
        <w:rPr>
          <w:rFonts w:ascii="Tahoma" w:hAnsi="Tahoma" w:cs="Tahoma"/>
          <w:sz w:val="20"/>
        </w:rPr>
        <w:t xml:space="preserve">also </w:t>
      </w:r>
      <w:r w:rsidR="00D30596">
        <w:rPr>
          <w:rFonts w:ascii="Tahoma" w:hAnsi="Tahoma" w:cs="Tahoma"/>
          <w:sz w:val="20"/>
        </w:rPr>
        <w:t>be asked in this section is whether the person has a cancer diagnosis so that they can be considered for the Medicaid Cancer Treatment Program. Navigators and in-person assistors need to be trained to be familiar with disabili</w:t>
      </w:r>
      <w:r w:rsidR="0093260F">
        <w:rPr>
          <w:rFonts w:ascii="Tahoma" w:hAnsi="Tahoma" w:cs="Tahoma"/>
          <w:sz w:val="20"/>
        </w:rPr>
        <w:t>ty-related and cancer diagnosis-</w:t>
      </w:r>
      <w:r w:rsidR="00D30596">
        <w:rPr>
          <w:rFonts w:ascii="Tahoma" w:hAnsi="Tahoma" w:cs="Tahoma"/>
          <w:sz w:val="20"/>
        </w:rPr>
        <w:t>related Medicaid eligibility so that they can advise people appropriately</w:t>
      </w:r>
      <w:r w:rsidR="009034E6">
        <w:rPr>
          <w:rFonts w:ascii="Tahoma" w:hAnsi="Tahoma" w:cs="Tahoma"/>
          <w:sz w:val="20"/>
        </w:rPr>
        <w:t>,</w:t>
      </w:r>
      <w:r w:rsidR="00D30596">
        <w:rPr>
          <w:rFonts w:ascii="Tahoma" w:hAnsi="Tahoma" w:cs="Tahoma"/>
          <w:sz w:val="20"/>
        </w:rPr>
        <w:t xml:space="preserve"> pending enrollment functionality for all Medicaid populations through</w:t>
      </w:r>
      <w:r w:rsidR="005F076B">
        <w:rPr>
          <w:rFonts w:ascii="Tahoma" w:hAnsi="Tahoma" w:cs="Tahoma"/>
          <w:sz w:val="20"/>
        </w:rPr>
        <w:t xml:space="preserve"> NYSOH</w:t>
      </w:r>
      <w:r w:rsidR="00D30596">
        <w:rPr>
          <w:rFonts w:ascii="Tahoma" w:hAnsi="Tahoma" w:cs="Tahoma"/>
          <w:sz w:val="20"/>
        </w:rPr>
        <w:t>.</w:t>
      </w:r>
    </w:p>
    <w:p w:rsidR="008A21C2" w:rsidRDefault="008A21C2" w:rsidP="008A21C2">
      <w:pPr>
        <w:tabs>
          <w:tab w:val="left" w:pos="8010"/>
        </w:tabs>
        <w:ind w:left="3960"/>
        <w:rPr>
          <w:sz w:val="23"/>
          <w:szCs w:val="23"/>
        </w:rPr>
      </w:pPr>
    </w:p>
    <w:p w:rsidR="008A21C2" w:rsidRPr="008A21C2" w:rsidRDefault="008A21C2" w:rsidP="00DB378D">
      <w:pPr>
        <w:tabs>
          <w:tab w:val="left" w:pos="8010"/>
        </w:tabs>
        <w:ind w:left="3960"/>
        <w:rPr>
          <w:rFonts w:ascii="Tahoma" w:hAnsi="Tahoma" w:cs="Tahoma"/>
          <w:sz w:val="20"/>
        </w:rPr>
      </w:pPr>
      <w:r w:rsidRPr="008A21C2">
        <w:rPr>
          <w:rFonts w:ascii="Tahoma" w:hAnsi="Tahoma" w:cs="Tahoma"/>
          <w:b/>
          <w:sz w:val="20"/>
        </w:rPr>
        <w:t>Create a “Plan Finder”</w:t>
      </w:r>
      <w:r>
        <w:rPr>
          <w:rFonts w:ascii="Tahoma" w:hAnsi="Tahoma" w:cs="Tahoma"/>
          <w:b/>
          <w:sz w:val="20"/>
        </w:rPr>
        <w:t xml:space="preserve">.  </w:t>
      </w:r>
      <w:r>
        <w:rPr>
          <w:rFonts w:ascii="Tahoma" w:hAnsi="Tahoma" w:cs="Tahoma"/>
          <w:sz w:val="20"/>
        </w:rPr>
        <w:t>Non</w:t>
      </w:r>
      <w:r w:rsidRPr="008A21C2">
        <w:rPr>
          <w:rFonts w:ascii="Tahoma" w:hAnsi="Tahoma" w:cs="Tahoma"/>
          <w:sz w:val="20"/>
        </w:rPr>
        <w:t>-Medicare health plans in New York State</w:t>
      </w:r>
      <w:r>
        <w:rPr>
          <w:rFonts w:ascii="Tahoma" w:hAnsi="Tahoma" w:cs="Tahoma"/>
          <w:sz w:val="20"/>
        </w:rPr>
        <w:t xml:space="preserve"> should have something </w:t>
      </w:r>
      <w:r w:rsidRPr="008A21C2">
        <w:rPr>
          <w:rFonts w:ascii="Tahoma" w:hAnsi="Tahoma" w:cs="Tahoma"/>
          <w:sz w:val="20"/>
        </w:rPr>
        <w:t xml:space="preserve">similar to the national web-based Plan Finder that helps Medicare beneficiaries choose Medicare Advantage and Part D prescription drug plans. </w:t>
      </w:r>
    </w:p>
    <w:p w:rsidR="007D695B" w:rsidRDefault="007D695B" w:rsidP="00B055E6">
      <w:pPr>
        <w:tabs>
          <w:tab w:val="left" w:pos="8010"/>
        </w:tabs>
        <w:ind w:left="3960"/>
        <w:rPr>
          <w:rFonts w:ascii="Tahoma" w:hAnsi="Tahoma" w:cs="Tahoma"/>
          <w:b/>
          <w:sz w:val="20"/>
        </w:rPr>
      </w:pPr>
    </w:p>
    <w:p w:rsidR="00B055E6" w:rsidRDefault="00B055E6" w:rsidP="00B055E6">
      <w:pPr>
        <w:tabs>
          <w:tab w:val="left" w:pos="8010"/>
        </w:tabs>
        <w:ind w:left="3960"/>
        <w:rPr>
          <w:rFonts w:ascii="Tahoma" w:hAnsi="Tahoma" w:cs="Tahoma"/>
          <w:b/>
          <w:sz w:val="20"/>
        </w:rPr>
      </w:pPr>
      <w:r w:rsidRPr="00B055E6">
        <w:rPr>
          <w:rFonts w:ascii="Tahoma" w:hAnsi="Tahoma" w:cs="Tahoma"/>
          <w:b/>
          <w:sz w:val="20"/>
        </w:rPr>
        <w:t>AFFORDABILITY OF COVERAGE</w:t>
      </w:r>
    </w:p>
    <w:p w:rsidR="00B055E6" w:rsidRDefault="00B055E6" w:rsidP="00B055E6">
      <w:pPr>
        <w:tabs>
          <w:tab w:val="left" w:pos="8010"/>
        </w:tabs>
        <w:ind w:left="3960"/>
        <w:rPr>
          <w:rFonts w:ascii="Tahoma" w:hAnsi="Tahoma" w:cs="Tahoma"/>
          <w:b/>
          <w:sz w:val="20"/>
        </w:rPr>
      </w:pPr>
    </w:p>
    <w:p w:rsidR="00B055E6" w:rsidRPr="00B055E6" w:rsidRDefault="00B055E6" w:rsidP="00B055E6">
      <w:pPr>
        <w:tabs>
          <w:tab w:val="left" w:pos="8010"/>
        </w:tabs>
        <w:ind w:left="3960"/>
        <w:rPr>
          <w:rFonts w:ascii="Tahoma" w:hAnsi="Tahoma" w:cs="Tahoma"/>
          <w:sz w:val="20"/>
        </w:rPr>
      </w:pPr>
      <w:r w:rsidRPr="00B055E6">
        <w:rPr>
          <w:rFonts w:ascii="Tahoma" w:hAnsi="Tahoma" w:cs="Tahoma"/>
          <w:b/>
          <w:bCs/>
          <w:sz w:val="20"/>
        </w:rPr>
        <w:t xml:space="preserve">Prior approval.  </w:t>
      </w:r>
      <w:r w:rsidRPr="00B055E6">
        <w:rPr>
          <w:rFonts w:ascii="Tahoma" w:hAnsi="Tahoma" w:cs="Tahoma"/>
          <w:sz w:val="20"/>
        </w:rPr>
        <w:t xml:space="preserve">The Department of Financial Services and the legislature should ensure that New York’s prior approval process remains a strong tool for consumer protection, including: </w:t>
      </w:r>
    </w:p>
    <w:p w:rsidR="00B055E6" w:rsidRPr="00B055E6" w:rsidRDefault="00B055E6" w:rsidP="00B055E6">
      <w:pPr>
        <w:pStyle w:val="ListParagraph"/>
        <w:numPr>
          <w:ilvl w:val="0"/>
          <w:numId w:val="4"/>
        </w:numPr>
        <w:tabs>
          <w:tab w:val="left" w:pos="8010"/>
        </w:tabs>
        <w:rPr>
          <w:rFonts w:ascii="Tahoma" w:hAnsi="Tahoma" w:cs="Tahoma"/>
          <w:sz w:val="20"/>
        </w:rPr>
      </w:pPr>
      <w:r w:rsidRPr="00B055E6">
        <w:rPr>
          <w:rFonts w:ascii="Tahoma" w:hAnsi="Tahoma" w:cs="Tahoma"/>
          <w:sz w:val="20"/>
        </w:rPr>
        <w:t xml:space="preserve">Oppose any legislative effort to reduce the discretion of the Department of Financial Services in regard to the regulation of health insurer rate increases, or to limit the ability of consumers and consumer organizations to participate effectively in rate increase proceedings. </w:t>
      </w:r>
    </w:p>
    <w:p w:rsidR="00B055E6" w:rsidRPr="00B055E6" w:rsidRDefault="00B055E6" w:rsidP="00B055E6">
      <w:pPr>
        <w:pStyle w:val="ListParagraph"/>
        <w:numPr>
          <w:ilvl w:val="0"/>
          <w:numId w:val="4"/>
        </w:numPr>
        <w:tabs>
          <w:tab w:val="left" w:pos="8010"/>
        </w:tabs>
        <w:rPr>
          <w:rFonts w:ascii="Tahoma" w:hAnsi="Tahoma" w:cs="Tahoma"/>
          <w:sz w:val="20"/>
        </w:rPr>
      </w:pPr>
      <w:r w:rsidRPr="00B055E6">
        <w:rPr>
          <w:rFonts w:ascii="Tahoma" w:hAnsi="Tahoma" w:cs="Tahoma"/>
          <w:sz w:val="20"/>
        </w:rPr>
        <w:lastRenderedPageBreak/>
        <w:t xml:space="preserve">Establish uniform standards and expectations for carrier actuarial memoranda and narrative summaries in prior approval applications. </w:t>
      </w:r>
    </w:p>
    <w:p w:rsidR="00B055E6" w:rsidRPr="00B055E6" w:rsidRDefault="00B055E6" w:rsidP="00B055E6">
      <w:pPr>
        <w:pStyle w:val="ListParagraph"/>
        <w:numPr>
          <w:ilvl w:val="0"/>
          <w:numId w:val="4"/>
        </w:numPr>
        <w:tabs>
          <w:tab w:val="left" w:pos="8010"/>
        </w:tabs>
        <w:rPr>
          <w:rFonts w:ascii="Tahoma" w:hAnsi="Tahoma" w:cs="Tahoma"/>
          <w:sz w:val="20"/>
        </w:rPr>
      </w:pPr>
      <w:r w:rsidRPr="00B055E6">
        <w:rPr>
          <w:rFonts w:ascii="Tahoma" w:hAnsi="Tahoma" w:cs="Tahoma"/>
          <w:sz w:val="20"/>
        </w:rPr>
        <w:t>Require public disclosure of information regarding claims experience by plans.</w:t>
      </w:r>
    </w:p>
    <w:p w:rsidR="00B055E6" w:rsidRPr="00B055E6" w:rsidRDefault="00B055E6" w:rsidP="002D7213">
      <w:pPr>
        <w:tabs>
          <w:tab w:val="left" w:pos="8010"/>
        </w:tabs>
        <w:ind w:left="3960"/>
        <w:rPr>
          <w:rFonts w:ascii="Tahoma" w:hAnsi="Tahoma" w:cs="Tahoma"/>
          <w:b/>
          <w:sz w:val="20"/>
        </w:rPr>
      </w:pPr>
    </w:p>
    <w:p w:rsidR="002D7213" w:rsidRPr="00B055E6" w:rsidRDefault="002D7213" w:rsidP="002D7213">
      <w:pPr>
        <w:tabs>
          <w:tab w:val="left" w:pos="8010"/>
        </w:tabs>
        <w:ind w:left="3960"/>
        <w:rPr>
          <w:rFonts w:ascii="Tahoma" w:hAnsi="Tahoma" w:cs="Tahoma"/>
          <w:sz w:val="20"/>
        </w:rPr>
      </w:pPr>
    </w:p>
    <w:p w:rsidR="00D30596" w:rsidRDefault="00D30596" w:rsidP="00D30596">
      <w:pPr>
        <w:tabs>
          <w:tab w:val="left" w:pos="8010"/>
        </w:tabs>
        <w:ind w:left="3960"/>
        <w:rPr>
          <w:rFonts w:ascii="Tahoma" w:hAnsi="Tahoma" w:cs="Tahoma"/>
          <w:b/>
          <w:sz w:val="20"/>
        </w:rPr>
      </w:pPr>
      <w:r w:rsidRPr="00EA1C36">
        <w:rPr>
          <w:rFonts w:ascii="Tahoma" w:hAnsi="Tahoma" w:cs="Tahoma"/>
          <w:b/>
          <w:sz w:val="20"/>
        </w:rPr>
        <w:t>COMPREHENSIVENESS OF COVERAGE</w:t>
      </w:r>
    </w:p>
    <w:p w:rsidR="00D30596" w:rsidRDefault="00D30596" w:rsidP="00D30596">
      <w:pPr>
        <w:tabs>
          <w:tab w:val="left" w:pos="8010"/>
        </w:tabs>
        <w:ind w:left="3960"/>
        <w:rPr>
          <w:rFonts w:ascii="Tahoma" w:hAnsi="Tahoma" w:cs="Tahoma"/>
          <w:b/>
          <w:sz w:val="20"/>
        </w:rPr>
      </w:pPr>
    </w:p>
    <w:p w:rsidR="002674F3" w:rsidRDefault="002674F3" w:rsidP="00D30596">
      <w:pPr>
        <w:tabs>
          <w:tab w:val="left" w:pos="8010"/>
        </w:tabs>
        <w:ind w:left="3960"/>
        <w:rPr>
          <w:rFonts w:ascii="Tahoma" w:hAnsi="Tahoma" w:cs="Tahoma"/>
          <w:sz w:val="20"/>
        </w:rPr>
      </w:pPr>
      <w:r w:rsidRPr="002674F3">
        <w:rPr>
          <w:rFonts w:ascii="Tahoma" w:hAnsi="Tahoma" w:cs="Tahoma"/>
          <w:b/>
          <w:sz w:val="20"/>
        </w:rPr>
        <w:t xml:space="preserve">Anti-Mandatory Mail Order Drug Legislation. </w:t>
      </w:r>
      <w:r>
        <w:rPr>
          <w:rFonts w:ascii="Tahoma" w:hAnsi="Tahoma" w:cs="Tahoma"/>
          <w:sz w:val="20"/>
        </w:rPr>
        <w:t xml:space="preserve"> NYFAHC </w:t>
      </w:r>
      <w:r w:rsidRPr="00DD53E7">
        <w:rPr>
          <w:rFonts w:ascii="Tahoma" w:hAnsi="Tahoma" w:cs="Tahoma"/>
          <w:sz w:val="20"/>
        </w:rPr>
        <w:t xml:space="preserve">strongly supports passage of </w:t>
      </w:r>
      <w:r w:rsidRPr="00DD53E7">
        <w:rPr>
          <w:rFonts w:ascii="Tahoma" w:hAnsi="Tahoma" w:cs="Arial"/>
          <w:sz w:val="20"/>
        </w:rPr>
        <w:t xml:space="preserve">legislation </w:t>
      </w:r>
      <w:r>
        <w:rPr>
          <w:rFonts w:ascii="Tahoma" w:hAnsi="Tahoma" w:cs="Arial"/>
          <w:sz w:val="20"/>
        </w:rPr>
        <w:t xml:space="preserve">that </w:t>
      </w:r>
      <w:r w:rsidRPr="00DD53E7">
        <w:rPr>
          <w:rFonts w:ascii="Tahoma" w:hAnsi="Tahoma" w:cs="Arial"/>
          <w:sz w:val="20"/>
        </w:rPr>
        <w:t>is necessary to clarify and strengthen current law to ensure that consumers can have the choice of accessing their covered medications from a local pharmacy or by mail order.</w:t>
      </w:r>
      <w:r>
        <w:rPr>
          <w:rFonts w:ascii="Tahoma" w:hAnsi="Tahoma" w:cs="Arial"/>
          <w:sz w:val="20"/>
        </w:rPr>
        <w:t xml:space="preserve">  </w:t>
      </w:r>
      <w:r w:rsidR="00ED1753">
        <w:rPr>
          <w:rFonts w:ascii="Tahoma" w:hAnsi="Tahoma" w:cs="Arial"/>
          <w:sz w:val="20"/>
        </w:rPr>
        <w:t>T</w:t>
      </w:r>
      <w:r w:rsidRPr="00DD53E7">
        <w:rPr>
          <w:rFonts w:ascii="Tahoma" w:hAnsi="Tahoma" w:cs="Tahoma"/>
          <w:sz w:val="20"/>
        </w:rPr>
        <w:t>his decision should not be</w:t>
      </w:r>
      <w:r w:rsidR="00ED1753">
        <w:rPr>
          <w:rFonts w:ascii="Tahoma" w:hAnsi="Tahoma" w:cs="Tahoma"/>
          <w:sz w:val="20"/>
        </w:rPr>
        <w:t xml:space="preserve"> enitrely </w:t>
      </w:r>
      <w:r w:rsidRPr="00DD53E7">
        <w:rPr>
          <w:rFonts w:ascii="Tahoma" w:hAnsi="Tahoma" w:cs="Tahoma"/>
          <w:sz w:val="20"/>
        </w:rPr>
        <w:t>left up to an insurance company.</w:t>
      </w:r>
    </w:p>
    <w:p w:rsidR="00D30596" w:rsidRDefault="00D30596" w:rsidP="00D30596">
      <w:pPr>
        <w:tabs>
          <w:tab w:val="left" w:pos="8010"/>
        </w:tabs>
        <w:ind w:left="3960"/>
        <w:rPr>
          <w:rFonts w:ascii="Tahoma" w:hAnsi="Tahoma" w:cs="Tahoma"/>
          <w:b/>
          <w:sz w:val="20"/>
        </w:rPr>
      </w:pPr>
    </w:p>
    <w:p w:rsidR="00BD3216" w:rsidRDefault="00BD3216" w:rsidP="002B6F82">
      <w:pPr>
        <w:tabs>
          <w:tab w:val="left" w:pos="8010"/>
        </w:tabs>
        <w:ind w:left="3960"/>
        <w:rPr>
          <w:rFonts w:ascii="Tahoma" w:hAnsi="Tahoma" w:cs="Tahoma"/>
          <w:sz w:val="20"/>
        </w:rPr>
      </w:pPr>
      <w:r>
        <w:rPr>
          <w:rFonts w:ascii="Tahoma" w:hAnsi="Tahoma" w:cs="Tahoma"/>
          <w:b/>
          <w:sz w:val="20"/>
        </w:rPr>
        <w:t>20-</w:t>
      </w:r>
      <w:r w:rsidR="00D30596">
        <w:rPr>
          <w:rFonts w:ascii="Tahoma" w:hAnsi="Tahoma" w:cs="Tahoma"/>
          <w:b/>
          <w:sz w:val="20"/>
        </w:rPr>
        <w:t xml:space="preserve">visit limit on Medicaid Physical Therapy, Occupational Therapy, and Speech Therapy should be subject to an override.  </w:t>
      </w:r>
      <w:r w:rsidR="00D30596">
        <w:rPr>
          <w:rFonts w:ascii="Tahoma" w:hAnsi="Tahoma" w:cs="Tahoma"/>
          <w:sz w:val="20"/>
        </w:rPr>
        <w:t xml:space="preserve">The Medicaid Redesign Team adopted the recommendations of its Basic Benefit Review Workgroup that included the principle that decisions on the Medicaid Benefit package would be based on evidence </w:t>
      </w:r>
      <w:r w:rsidR="00D30596" w:rsidRPr="001D3D9A">
        <w:rPr>
          <w:rFonts w:ascii="Tahoma" w:hAnsi="Tahoma" w:cs="Tahoma"/>
          <w:sz w:val="20"/>
        </w:rPr>
        <w:t>derived from</w:t>
      </w:r>
      <w:r w:rsidR="00D30596">
        <w:rPr>
          <w:rFonts w:ascii="Tahoma" w:hAnsi="Tahoma" w:cs="Tahoma"/>
          <w:sz w:val="20"/>
        </w:rPr>
        <w:t xml:space="preserve"> an assessment of effectiveness, benefits, harms, and costs</w:t>
      </w:r>
      <w:r w:rsidR="00D30596" w:rsidRPr="002705C3">
        <w:rPr>
          <w:rFonts w:ascii="Tahoma" w:hAnsi="Tahoma" w:cs="Tahoma"/>
          <w:sz w:val="20"/>
        </w:rPr>
        <w:t>.</w:t>
      </w:r>
      <w:r w:rsidR="00D30596">
        <w:rPr>
          <w:rFonts w:ascii="Tahoma" w:hAnsi="Tahoma" w:cs="Tahoma"/>
          <w:sz w:val="20"/>
        </w:rPr>
        <w:t xml:space="preserve">  Arbitrary visit limits may not make sense</w:t>
      </w:r>
      <w:r w:rsidR="001703E9">
        <w:rPr>
          <w:rFonts w:ascii="Tahoma" w:hAnsi="Tahoma" w:cs="Tahoma"/>
          <w:sz w:val="20"/>
        </w:rPr>
        <w:t>,</w:t>
      </w:r>
      <w:r w:rsidR="00D30596">
        <w:rPr>
          <w:rFonts w:ascii="Tahoma" w:hAnsi="Tahoma" w:cs="Tahoma"/>
          <w:sz w:val="20"/>
        </w:rPr>
        <w:t xml:space="preserve"> and discriminate against people with disabilities.  People who have a stroke may need more than 20 physical therapy visits to regain the function of walking.  Already</w:t>
      </w:r>
      <w:r w:rsidR="001703E9">
        <w:rPr>
          <w:rFonts w:ascii="Tahoma" w:hAnsi="Tahoma" w:cs="Tahoma"/>
          <w:sz w:val="20"/>
        </w:rPr>
        <w:t>,</w:t>
      </w:r>
      <w:r w:rsidR="00D30596">
        <w:rPr>
          <w:rFonts w:ascii="Tahoma" w:hAnsi="Tahoma" w:cs="Tahoma"/>
          <w:sz w:val="20"/>
        </w:rPr>
        <w:t xml:space="preserve"> we have seen a person subjected to this limit who required surgery as a result</w:t>
      </w:r>
      <w:r w:rsidR="001703E9">
        <w:rPr>
          <w:rFonts w:ascii="Tahoma" w:hAnsi="Tahoma" w:cs="Tahoma"/>
          <w:sz w:val="20"/>
        </w:rPr>
        <w:t>,</w:t>
      </w:r>
      <w:r w:rsidR="00D30596">
        <w:rPr>
          <w:rFonts w:ascii="Tahoma" w:hAnsi="Tahoma" w:cs="Tahoma"/>
          <w:sz w:val="20"/>
        </w:rPr>
        <w:t xml:space="preserve"> and then was unable to get the recommended post operative physical therapy due to the limit.  Some people may experience depression when they are unable to gain or regain function that may require therapy or prescription drug treatment.  Medicare provides for an override</w:t>
      </w:r>
      <w:r w:rsidR="00DB3E33">
        <w:rPr>
          <w:rFonts w:ascii="Tahoma" w:hAnsi="Tahoma" w:cs="Tahoma"/>
          <w:sz w:val="20"/>
        </w:rPr>
        <w:t>,</w:t>
      </w:r>
      <w:r w:rsidR="00D30596">
        <w:rPr>
          <w:rFonts w:ascii="Tahoma" w:hAnsi="Tahoma" w:cs="Tahoma"/>
          <w:sz w:val="20"/>
        </w:rPr>
        <w:t xml:space="preserve"> and Medicaid Utilization Thresholds which have been used in New York have provided a procedure for a physician override.  Such a procedure should be implemented with these limits.  </w:t>
      </w:r>
    </w:p>
    <w:sectPr w:rsidR="00BD3216" w:rsidSect="00E0470A">
      <w:headerReference w:type="even" r:id="rId7"/>
      <w:headerReference w:type="default" r:id="rId8"/>
      <w:footerReference w:type="even" r:id="rId9"/>
      <w:footerReference w:type="default" r:id="rId10"/>
      <w:headerReference w:type="first" r:id="rId11"/>
      <w:footerReference w:type="first" r:id="rId12"/>
      <w:type w:val="continuous"/>
      <w:pgSz w:w="12240" w:h="15840"/>
      <w:pgMar w:top="1025" w:right="432" w:bottom="720" w:left="432" w:header="360" w:footer="8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E6" w:rsidRDefault="00B055E6">
      <w:r>
        <w:separator/>
      </w:r>
    </w:p>
  </w:endnote>
  <w:endnote w:type="continuationSeparator" w:id="0">
    <w:p w:rsidR="00B055E6" w:rsidRDefault="00B0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6" w:rsidRDefault="00B05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6" w:rsidRPr="007770F0" w:rsidRDefault="00ED1753" w:rsidP="007770F0">
    <w:pPr>
      <w:pStyle w:val="Footer"/>
      <w:jc w:val="center"/>
      <w:rPr>
        <w:rFonts w:ascii="Tahoma" w:hAnsi="Tahoma" w:cs="Tahoma"/>
        <w:sz w:val="20"/>
      </w:rPr>
    </w:pPr>
    <w:r>
      <w:rPr>
        <w:rFonts w:ascii="Tahoma" w:hAnsi="Tahoma" w:cs="Tahoma"/>
        <w:sz w:val="20"/>
      </w:rPr>
      <w:t xml:space="preserve">November </w:t>
    </w:r>
    <w:r w:rsidR="007D695B">
      <w:rPr>
        <w:rFonts w:ascii="Tahoma" w:hAnsi="Tahoma" w:cs="Tahoma"/>
        <w:sz w:val="20"/>
      </w:rPr>
      <w:t>2</w:t>
    </w:r>
    <w:r>
      <w:rPr>
        <w:rFonts w:ascii="Tahoma" w:hAnsi="Tahoma" w:cs="Tahoma"/>
        <w:sz w:val="20"/>
      </w:rPr>
      <w:t>9</w:t>
    </w:r>
    <w:r w:rsidR="00B055E6" w:rsidRPr="007770F0">
      <w:rPr>
        <w:rFonts w:ascii="Tahoma" w:hAnsi="Tahoma" w:cs="Tahoma"/>
        <w:sz w:val="20"/>
      </w:rPr>
      <w:t>, 201</w:t>
    </w:r>
    <w:r w:rsidR="00B055E6">
      <w:rPr>
        <w:rFonts w:ascii="Tahoma" w:hAnsi="Tahoma" w:cs="Tahoma"/>
        <w:sz w:val="20"/>
      </w:rPr>
      <w:t>6</w:t>
    </w:r>
  </w:p>
  <w:p w:rsidR="00B055E6" w:rsidRDefault="00B055E6">
    <w:pPr>
      <w:pStyle w:val="Footer"/>
      <w:tabs>
        <w:tab w:val="clear" w:pos="4320"/>
        <w:tab w:val="clear" w:pos="8640"/>
        <w:tab w:val="right" w:pos="10890"/>
      </w:tabs>
      <w:ind w:left="3960"/>
      <w:rPr>
        <w:rFonts w:ascii="Tahoma" w:hAnsi="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6" w:rsidRDefault="00B055E6">
    <w:pPr>
      <w:pStyle w:val="Footer"/>
      <w:ind w:left="3960"/>
      <w:rPr>
        <w:rFonts w:ascii="Tahoma" w:hAnsi="Tahoma"/>
        <w:sz w:val="16"/>
      </w:rPr>
    </w:pPr>
    <w:r>
      <w:rPr>
        <w:rFonts w:ascii="Tahoma" w:hAnsi="Tahoma"/>
        <w:sz w:val="16"/>
      </w:rPr>
      <w:t>NYFAHC is an independent project of The Center for Independence of the Disabled, NY (CIDNY)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E6" w:rsidRDefault="00B055E6">
      <w:r>
        <w:separator/>
      </w:r>
    </w:p>
  </w:footnote>
  <w:footnote w:type="continuationSeparator" w:id="0">
    <w:p w:rsidR="00B055E6" w:rsidRDefault="00B0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6" w:rsidRDefault="00B05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6" w:rsidRDefault="00B055E6">
    <w:pPr>
      <w:pStyle w:val="Header"/>
      <w:ind w:left="-180"/>
      <w:jc w:val="center"/>
      <w:rPr>
        <w:rFonts w:ascii="Tahoma" w:hAnsi="Tahoma"/>
      </w:rPr>
    </w:pPr>
    <w:r>
      <w:rPr>
        <w:rFonts w:ascii="Tahoma" w:hAnsi="Tahoma"/>
      </w:rPr>
      <w:drawing>
        <wp:inline distT="0" distB="0" distL="0" distR="0">
          <wp:extent cx="6878955" cy="1132205"/>
          <wp:effectExtent l="19050" t="0" r="0" b="0"/>
          <wp:docPr id="1" name="Picture 1" descr="header_2_sm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2_sm_outlines"/>
                  <pic:cNvPicPr>
                    <a:picLocks noChangeAspect="1" noChangeArrowheads="1"/>
                  </pic:cNvPicPr>
                </pic:nvPicPr>
                <pic:blipFill>
                  <a:blip r:embed="rId1"/>
                  <a:srcRect/>
                  <a:stretch>
                    <a:fillRect/>
                  </a:stretch>
                </pic:blipFill>
                <pic:spPr bwMode="auto">
                  <a:xfrm>
                    <a:off x="0" y="0"/>
                    <a:ext cx="6878955" cy="1132205"/>
                  </a:xfrm>
                  <a:prstGeom prst="rect">
                    <a:avLst/>
                  </a:prstGeom>
                  <a:noFill/>
                  <a:ln w="9525">
                    <a:noFill/>
                    <a:miter lim="800000"/>
                    <a:headEnd/>
                    <a:tailEnd/>
                  </a:ln>
                </pic:spPr>
              </pic:pic>
            </a:graphicData>
          </a:graphic>
        </wp:inline>
      </w:drawing>
    </w:r>
  </w:p>
  <w:p w:rsidR="00B055E6" w:rsidRDefault="006A64CD">
    <w:pPr>
      <w:pStyle w:val="Header"/>
      <w:ind w:left="-180"/>
      <w:jc w:val="center"/>
      <w:rPr>
        <w:rFonts w:ascii="Tahoma" w:hAnsi="Tahoma"/>
      </w:rPr>
    </w:pPr>
    <w:r>
      <w:rPr>
        <w:rFonts w:ascii="Tahoma" w:hAnsi="Tahoma"/>
      </w:rPr>
      <mc:AlternateContent>
        <mc:Choice Requires="wps">
          <w:drawing>
            <wp:anchor distT="0" distB="0" distL="114300" distR="114300" simplePos="0" relativeHeight="251657216" behindDoc="0" locked="0" layoutInCell="1" allowOverlap="1">
              <wp:simplePos x="0" y="0"/>
              <wp:positionH relativeFrom="column">
                <wp:posOffset>2291715</wp:posOffset>
              </wp:positionH>
              <wp:positionV relativeFrom="paragraph">
                <wp:posOffset>218440</wp:posOffset>
              </wp:positionV>
              <wp:extent cx="0" cy="7452360"/>
              <wp:effectExtent l="13335" t="7620" r="571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2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734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7.2pt" to="180.4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">
              <v:stroke dashstyle="1 1"/>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6" w:rsidRDefault="00B055E6">
    <w:pPr>
      <w:pStyle w:val="Header"/>
      <w:jc w:val="center"/>
    </w:pPr>
    <w:r>
      <w:drawing>
        <wp:inline distT="0" distB="0" distL="0" distR="0">
          <wp:extent cx="6878955" cy="1241425"/>
          <wp:effectExtent l="19050" t="0" r="0" b="0"/>
          <wp:docPr id="2" name="Picture 2" descr="NYFAHC_Letterhead_Blk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FAHC_Letterhead_Blk_2014"/>
                  <pic:cNvPicPr>
                    <a:picLocks noChangeAspect="1" noChangeArrowheads="1"/>
                  </pic:cNvPicPr>
                </pic:nvPicPr>
                <pic:blipFill>
                  <a:blip r:embed="rId1"/>
                  <a:srcRect/>
                  <a:stretch>
                    <a:fillRect/>
                  </a:stretch>
                </pic:blipFill>
                <pic:spPr bwMode="auto">
                  <a:xfrm>
                    <a:off x="0" y="0"/>
                    <a:ext cx="6878955" cy="1241425"/>
                  </a:xfrm>
                  <a:prstGeom prst="rect">
                    <a:avLst/>
                  </a:prstGeom>
                  <a:noFill/>
                  <a:ln w="9525">
                    <a:noFill/>
                    <a:miter lim="800000"/>
                    <a:headEnd/>
                    <a:tailEnd/>
                  </a:ln>
                </pic:spPr>
              </pic:pic>
            </a:graphicData>
          </a:graphic>
        </wp:inline>
      </w:drawing>
    </w:r>
  </w:p>
  <w:p w:rsidR="00B055E6" w:rsidRDefault="00B055E6">
    <w:pPr>
      <w:pStyle w:val="Header"/>
    </w:pPr>
    <w:r>
      <w:drawing>
        <wp:anchor distT="0" distB="0" distL="114300" distR="114300" simplePos="0" relativeHeight="251658240" behindDoc="1" locked="0" layoutInCell="1" allowOverlap="1">
          <wp:simplePos x="0" y="0"/>
          <wp:positionH relativeFrom="column">
            <wp:posOffset>5715</wp:posOffset>
          </wp:positionH>
          <wp:positionV relativeFrom="paragraph">
            <wp:posOffset>359410</wp:posOffset>
          </wp:positionV>
          <wp:extent cx="2074545" cy="7670800"/>
          <wp:effectExtent l="19050" t="0" r="1905" b="0"/>
          <wp:wrapNone/>
          <wp:docPr id="3" name="Picture 3" descr="NYFAHC_Letterhead_Member Org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FAHC_Letterhead_Member Org_2014"/>
                  <pic:cNvPicPr>
                    <a:picLocks noChangeAspect="1" noChangeArrowheads="1"/>
                  </pic:cNvPicPr>
                </pic:nvPicPr>
                <pic:blipFill>
                  <a:blip r:embed="rId2"/>
                  <a:srcRect/>
                  <a:stretch>
                    <a:fillRect/>
                  </a:stretch>
                </pic:blipFill>
                <pic:spPr bwMode="auto">
                  <a:xfrm>
                    <a:off x="0" y="0"/>
                    <a:ext cx="2074545" cy="7670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80242"/>
    <w:multiLevelType w:val="hybridMultilevel"/>
    <w:tmpl w:val="06F65C8C"/>
    <w:lvl w:ilvl="0" w:tplc="3F96B69C">
      <w:numFmt w:val="bullet"/>
      <w:lvlText w:val=""/>
      <w:lvlJc w:val="left"/>
      <w:pPr>
        <w:ind w:left="4680" w:hanging="360"/>
      </w:pPr>
      <w:rPr>
        <w:rFonts w:ascii="Symbol" w:eastAsia="Times" w:hAnsi="Symbol" w:cs="Tahom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C6C5CBB"/>
    <w:multiLevelType w:val="hybridMultilevel"/>
    <w:tmpl w:val="EAAC868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328C5892"/>
    <w:multiLevelType w:val="hybridMultilevel"/>
    <w:tmpl w:val="27D683E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4A335D05"/>
    <w:multiLevelType w:val="hybridMultilevel"/>
    <w:tmpl w:val="99E0C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85B10"/>
    <w:multiLevelType w:val="hybridMultilevel"/>
    <w:tmpl w:val="9430936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0A"/>
    <w:rsid w:val="000026C3"/>
    <w:rsid w:val="0002751A"/>
    <w:rsid w:val="00042F54"/>
    <w:rsid w:val="00043362"/>
    <w:rsid w:val="000B544A"/>
    <w:rsid w:val="000C0405"/>
    <w:rsid w:val="00100A94"/>
    <w:rsid w:val="00115856"/>
    <w:rsid w:val="001349C4"/>
    <w:rsid w:val="001703E9"/>
    <w:rsid w:val="00173F75"/>
    <w:rsid w:val="00182A14"/>
    <w:rsid w:val="00182BBF"/>
    <w:rsid w:val="0018723D"/>
    <w:rsid w:val="001941C8"/>
    <w:rsid w:val="001B45B5"/>
    <w:rsid w:val="001C7C3A"/>
    <w:rsid w:val="001E41B7"/>
    <w:rsid w:val="002314AC"/>
    <w:rsid w:val="00234020"/>
    <w:rsid w:val="00250916"/>
    <w:rsid w:val="002674F3"/>
    <w:rsid w:val="002A0936"/>
    <w:rsid w:val="002A78BA"/>
    <w:rsid w:val="002B05F1"/>
    <w:rsid w:val="002B0C01"/>
    <w:rsid w:val="002B6F82"/>
    <w:rsid w:val="002B792F"/>
    <w:rsid w:val="002D7213"/>
    <w:rsid w:val="002F5D79"/>
    <w:rsid w:val="00307EA5"/>
    <w:rsid w:val="00364199"/>
    <w:rsid w:val="00390F42"/>
    <w:rsid w:val="003B689B"/>
    <w:rsid w:val="003B7E80"/>
    <w:rsid w:val="003D0808"/>
    <w:rsid w:val="003F303F"/>
    <w:rsid w:val="004444C8"/>
    <w:rsid w:val="00470706"/>
    <w:rsid w:val="0047180C"/>
    <w:rsid w:val="004B0651"/>
    <w:rsid w:val="004F196E"/>
    <w:rsid w:val="0052536A"/>
    <w:rsid w:val="0053423B"/>
    <w:rsid w:val="005576B0"/>
    <w:rsid w:val="005A3D7B"/>
    <w:rsid w:val="005B4CE7"/>
    <w:rsid w:val="005F076B"/>
    <w:rsid w:val="00631AD3"/>
    <w:rsid w:val="006A64CD"/>
    <w:rsid w:val="006B3333"/>
    <w:rsid w:val="006D70FA"/>
    <w:rsid w:val="006F1168"/>
    <w:rsid w:val="00723298"/>
    <w:rsid w:val="0075019C"/>
    <w:rsid w:val="00753DD6"/>
    <w:rsid w:val="007770F0"/>
    <w:rsid w:val="007901B8"/>
    <w:rsid w:val="00791144"/>
    <w:rsid w:val="007C47C0"/>
    <w:rsid w:val="007D695B"/>
    <w:rsid w:val="007E76B1"/>
    <w:rsid w:val="007F5D89"/>
    <w:rsid w:val="008218EE"/>
    <w:rsid w:val="008327FB"/>
    <w:rsid w:val="008818EE"/>
    <w:rsid w:val="008A1044"/>
    <w:rsid w:val="008A21C2"/>
    <w:rsid w:val="008B0115"/>
    <w:rsid w:val="008D30F6"/>
    <w:rsid w:val="009034E6"/>
    <w:rsid w:val="0093260F"/>
    <w:rsid w:val="00953242"/>
    <w:rsid w:val="00955BCD"/>
    <w:rsid w:val="00994C99"/>
    <w:rsid w:val="009A7A16"/>
    <w:rsid w:val="009E1992"/>
    <w:rsid w:val="00A07804"/>
    <w:rsid w:val="00A17F02"/>
    <w:rsid w:val="00A42E0E"/>
    <w:rsid w:val="00A93D95"/>
    <w:rsid w:val="00AA2425"/>
    <w:rsid w:val="00AE73FA"/>
    <w:rsid w:val="00B02449"/>
    <w:rsid w:val="00B055E6"/>
    <w:rsid w:val="00BB36A4"/>
    <w:rsid w:val="00BD3216"/>
    <w:rsid w:val="00BD5663"/>
    <w:rsid w:val="00C13AFA"/>
    <w:rsid w:val="00C86B22"/>
    <w:rsid w:val="00C95871"/>
    <w:rsid w:val="00CB2645"/>
    <w:rsid w:val="00CE2C27"/>
    <w:rsid w:val="00D12D3E"/>
    <w:rsid w:val="00D30596"/>
    <w:rsid w:val="00D34177"/>
    <w:rsid w:val="00D52C55"/>
    <w:rsid w:val="00DA2461"/>
    <w:rsid w:val="00DA47AE"/>
    <w:rsid w:val="00DB179C"/>
    <w:rsid w:val="00DB378D"/>
    <w:rsid w:val="00DB3E33"/>
    <w:rsid w:val="00DE7B5C"/>
    <w:rsid w:val="00E0470A"/>
    <w:rsid w:val="00E106B7"/>
    <w:rsid w:val="00E6135E"/>
    <w:rsid w:val="00E65AA5"/>
    <w:rsid w:val="00ED1753"/>
    <w:rsid w:val="00EE4AA7"/>
    <w:rsid w:val="00F0084E"/>
    <w:rsid w:val="00F04252"/>
    <w:rsid w:val="00F55A9A"/>
    <w:rsid w:val="00F61616"/>
    <w:rsid w:val="00F61775"/>
    <w:rsid w:val="00F8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BC7FF12-80EF-4258-9649-DCC31C83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04"/>
    <w:rPr>
      <w:noProof/>
      <w:sz w:val="24"/>
    </w:rPr>
  </w:style>
  <w:style w:type="paragraph" w:styleId="Heading1">
    <w:name w:val="heading 1"/>
    <w:basedOn w:val="Normal"/>
    <w:next w:val="Normal"/>
    <w:qFormat/>
    <w:rsid w:val="00A07804"/>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804"/>
    <w:pPr>
      <w:tabs>
        <w:tab w:val="center" w:pos="4320"/>
        <w:tab w:val="right" w:pos="8640"/>
      </w:tabs>
    </w:pPr>
  </w:style>
  <w:style w:type="paragraph" w:styleId="Footer">
    <w:name w:val="footer"/>
    <w:basedOn w:val="Normal"/>
    <w:link w:val="FooterChar"/>
    <w:uiPriority w:val="99"/>
    <w:rsid w:val="00A07804"/>
    <w:pPr>
      <w:tabs>
        <w:tab w:val="center" w:pos="4320"/>
        <w:tab w:val="right" w:pos="8640"/>
      </w:tabs>
    </w:pPr>
  </w:style>
  <w:style w:type="character" w:styleId="PageNumber">
    <w:name w:val="page number"/>
    <w:basedOn w:val="DefaultParagraphFont"/>
    <w:rsid w:val="00A07804"/>
  </w:style>
  <w:style w:type="paragraph" w:styleId="FootnoteText">
    <w:name w:val="footnote text"/>
    <w:basedOn w:val="Normal"/>
    <w:link w:val="FootnoteTextChar"/>
    <w:rsid w:val="002B05F1"/>
    <w:rPr>
      <w:rFonts w:ascii="Times New Roman" w:eastAsia="MS Mincho" w:hAnsi="Times New Roman"/>
      <w:noProof w:val="0"/>
      <w:sz w:val="20"/>
      <w:lang w:eastAsia="ja-JP"/>
    </w:rPr>
  </w:style>
  <w:style w:type="character" w:customStyle="1" w:styleId="FootnoteTextChar">
    <w:name w:val="Footnote Text Char"/>
    <w:basedOn w:val="DefaultParagraphFont"/>
    <w:link w:val="FootnoteText"/>
    <w:rsid w:val="002B05F1"/>
    <w:rPr>
      <w:rFonts w:ascii="Times New Roman" w:eastAsia="MS Mincho" w:hAnsi="Times New Roman"/>
      <w:lang w:eastAsia="ja-JP"/>
    </w:rPr>
  </w:style>
  <w:style w:type="character" w:styleId="FootnoteReference">
    <w:name w:val="footnote reference"/>
    <w:basedOn w:val="DefaultParagraphFont"/>
    <w:rsid w:val="002B05F1"/>
    <w:rPr>
      <w:vertAlign w:val="superscript"/>
    </w:rPr>
  </w:style>
  <w:style w:type="character" w:customStyle="1" w:styleId="FooterChar">
    <w:name w:val="Footer Char"/>
    <w:basedOn w:val="DefaultParagraphFont"/>
    <w:link w:val="Footer"/>
    <w:uiPriority w:val="99"/>
    <w:rsid w:val="00DA2461"/>
    <w:rPr>
      <w:noProof/>
      <w:sz w:val="24"/>
    </w:rPr>
  </w:style>
  <w:style w:type="paragraph" w:styleId="BalloonText">
    <w:name w:val="Balloon Text"/>
    <w:basedOn w:val="Normal"/>
    <w:link w:val="BalloonTextChar"/>
    <w:uiPriority w:val="99"/>
    <w:semiHidden/>
    <w:unhideWhenUsed/>
    <w:rsid w:val="00DA2461"/>
    <w:rPr>
      <w:rFonts w:ascii="Tahoma" w:hAnsi="Tahoma" w:cs="Tahoma"/>
      <w:sz w:val="16"/>
      <w:szCs w:val="16"/>
    </w:rPr>
  </w:style>
  <w:style w:type="character" w:customStyle="1" w:styleId="BalloonTextChar">
    <w:name w:val="Balloon Text Char"/>
    <w:basedOn w:val="DefaultParagraphFont"/>
    <w:link w:val="BalloonText"/>
    <w:uiPriority w:val="99"/>
    <w:semiHidden/>
    <w:rsid w:val="00DA2461"/>
    <w:rPr>
      <w:rFonts w:ascii="Tahoma" w:hAnsi="Tahoma" w:cs="Tahoma"/>
      <w:noProof/>
      <w:sz w:val="16"/>
      <w:szCs w:val="16"/>
    </w:rPr>
  </w:style>
  <w:style w:type="paragraph" w:styleId="NormalWeb">
    <w:name w:val="Normal (Web)"/>
    <w:basedOn w:val="Normal"/>
    <w:uiPriority w:val="99"/>
    <w:semiHidden/>
    <w:unhideWhenUsed/>
    <w:rsid w:val="007901B8"/>
    <w:pPr>
      <w:spacing w:before="100" w:beforeAutospacing="1" w:after="100" w:afterAutospacing="1"/>
    </w:pPr>
    <w:rPr>
      <w:rFonts w:ascii="Times New Roman" w:eastAsia="Calibri" w:hAnsi="Times New Roman"/>
      <w:noProof w:val="0"/>
      <w:color w:val="000000"/>
      <w:szCs w:val="24"/>
    </w:rPr>
  </w:style>
  <w:style w:type="paragraph" w:customStyle="1" w:styleId="Default">
    <w:name w:val="Default"/>
    <w:rsid w:val="008A104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F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647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Dear</vt:lpstr>
    </vt:vector>
  </TitlesOfParts>
  <Company>Pearson Inc.</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Pearson User</dc:creator>
  <cp:lastModifiedBy>Margi Trapani</cp:lastModifiedBy>
  <cp:revision>2</cp:revision>
  <cp:lastPrinted>2016-11-30T00:12:00Z</cp:lastPrinted>
  <dcterms:created xsi:type="dcterms:W3CDTF">2017-01-24T14:27:00Z</dcterms:created>
  <dcterms:modified xsi:type="dcterms:W3CDTF">2017-01-24T14:27:00Z</dcterms:modified>
</cp:coreProperties>
</file>